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5A0F5" w14:textId="77777777" w:rsidR="003A738F" w:rsidRPr="00513D74" w:rsidRDefault="003A738F" w:rsidP="00513D74">
      <w:pPr>
        <w:pStyle w:val="Heading1"/>
      </w:pPr>
      <w:r w:rsidRPr="00513D74">
        <w:t>Series 4000: District Employment</w:t>
      </w:r>
    </w:p>
    <w:p w14:paraId="036CBB0A" w14:textId="77777777" w:rsidR="003A738F" w:rsidRPr="00513D74" w:rsidRDefault="00947451" w:rsidP="00513D74">
      <w:pPr>
        <w:pStyle w:val="Heading2"/>
      </w:pPr>
      <w:r w:rsidRPr="00513D74">
        <w:t>4100</w:t>
      </w:r>
      <w:r w:rsidRPr="00513D74">
        <w:tab/>
      </w:r>
      <w:r w:rsidR="003A738F" w:rsidRPr="00513D74">
        <w:t>Employee Rights and Responsibilities</w:t>
      </w:r>
    </w:p>
    <w:p w14:paraId="7D500EA0" w14:textId="77777777" w:rsidR="003A738F" w:rsidRPr="00513D74" w:rsidRDefault="00947451" w:rsidP="00513D74">
      <w:pPr>
        <w:pStyle w:val="Heading3"/>
      </w:pPr>
      <w:r w:rsidRPr="00513D74">
        <w:t>4101</w:t>
      </w:r>
      <w:r w:rsidRPr="00513D74">
        <w:tab/>
      </w:r>
      <w:r w:rsidR="003A738F" w:rsidRPr="00513D74">
        <w:t>Non-Discrimination</w:t>
      </w:r>
    </w:p>
    <w:p w14:paraId="034DFF79" w14:textId="77777777" w:rsidR="001C1EC8" w:rsidRPr="003A738F" w:rsidRDefault="003A738F" w:rsidP="003A738F">
      <w:pPr>
        <w:pStyle w:val="Level1"/>
      </w:pPr>
      <w:r>
        <w:rPr>
          <w:position w:val="1"/>
        </w:rPr>
        <w:t>Equal Employment</w:t>
      </w:r>
      <w:r>
        <w:rPr>
          <w:spacing w:val="-3"/>
          <w:position w:val="1"/>
        </w:rPr>
        <w:t xml:space="preserve"> </w:t>
      </w:r>
      <w:r>
        <w:rPr>
          <w:position w:val="1"/>
        </w:rPr>
        <w:t>Opportunity</w:t>
      </w:r>
    </w:p>
    <w:p w14:paraId="624E756F" w14:textId="7F441BAD" w:rsidR="003A738F" w:rsidRDefault="003A738F" w:rsidP="003A738F">
      <w:pPr>
        <w:pStyle w:val="Level1sub"/>
      </w:pPr>
      <w:r>
        <w:t xml:space="preserve">The District is committed to equal employment opportunity and compliance with federal, state, and local laws that prohibit workplace </w:t>
      </w:r>
      <w:r w:rsidR="00B53E6D">
        <w:t>U</w:t>
      </w:r>
      <w:r w:rsidR="003B554B">
        <w:t xml:space="preserve">nlawful </w:t>
      </w:r>
      <w:r w:rsidR="00B53E6D">
        <w:t>D</w:t>
      </w:r>
      <w:r>
        <w:t>iscrimination,</w:t>
      </w:r>
      <w:r w:rsidR="003B554B">
        <w:t xml:space="preserve"> including</w:t>
      </w:r>
      <w:r>
        <w:t xml:space="preserve"> unlawful harassment</w:t>
      </w:r>
      <w:r>
        <w:rPr>
          <w:spacing w:val="-9"/>
        </w:rPr>
        <w:t xml:space="preserve"> </w:t>
      </w:r>
      <w:r>
        <w:t>and</w:t>
      </w:r>
      <w:r>
        <w:rPr>
          <w:spacing w:val="-8"/>
        </w:rPr>
        <w:t xml:space="preserve"> </w:t>
      </w:r>
      <w:r w:rsidR="00B53E6D">
        <w:t>R</w:t>
      </w:r>
      <w:r>
        <w:t>etaliation</w:t>
      </w:r>
      <w:r>
        <w:rPr>
          <w:spacing w:val="-7"/>
        </w:rPr>
        <w:t xml:space="preserve"> </w:t>
      </w:r>
      <w:r>
        <w:t>based</w:t>
      </w:r>
      <w:r>
        <w:rPr>
          <w:spacing w:val="-7"/>
        </w:rPr>
        <w:t xml:space="preserve"> </w:t>
      </w:r>
      <w:r>
        <w:t>on</w:t>
      </w:r>
      <w:r>
        <w:rPr>
          <w:spacing w:val="-2"/>
        </w:rPr>
        <w:t xml:space="preserve"> </w:t>
      </w:r>
      <w:r>
        <w:t>any</w:t>
      </w:r>
      <w:r>
        <w:rPr>
          <w:spacing w:val="-8"/>
        </w:rPr>
        <w:t xml:space="preserve"> </w:t>
      </w:r>
      <w:r>
        <w:t>protected</w:t>
      </w:r>
      <w:r>
        <w:rPr>
          <w:spacing w:val="-7"/>
        </w:rPr>
        <w:t xml:space="preserve"> </w:t>
      </w:r>
      <w:r>
        <w:t>class</w:t>
      </w:r>
      <w:r>
        <w:rPr>
          <w:spacing w:val="-8"/>
        </w:rPr>
        <w:t xml:space="preserve"> </w:t>
      </w:r>
      <w:r>
        <w:t>or</w:t>
      </w:r>
      <w:r>
        <w:rPr>
          <w:spacing w:val="-5"/>
        </w:rPr>
        <w:t xml:space="preserve"> </w:t>
      </w:r>
      <w:r>
        <w:rPr>
          <w:spacing w:val="-3"/>
        </w:rPr>
        <w:t>activity.</w:t>
      </w:r>
      <w:r>
        <w:rPr>
          <w:spacing w:val="-10"/>
        </w:rPr>
        <w:t xml:space="preserve"> </w:t>
      </w:r>
      <w:r>
        <w:t>This Policy</w:t>
      </w:r>
      <w:r>
        <w:rPr>
          <w:spacing w:val="-23"/>
        </w:rPr>
        <w:t xml:space="preserve"> </w:t>
      </w:r>
      <w:r>
        <w:t>applies</w:t>
      </w:r>
      <w:r>
        <w:rPr>
          <w:spacing w:val="-20"/>
        </w:rPr>
        <w:t xml:space="preserve"> </w:t>
      </w:r>
      <w:r>
        <w:t>to</w:t>
      </w:r>
      <w:r>
        <w:rPr>
          <w:spacing w:val="-21"/>
        </w:rPr>
        <w:t xml:space="preserve"> </w:t>
      </w:r>
      <w:r>
        <w:t>all</w:t>
      </w:r>
      <w:r>
        <w:rPr>
          <w:spacing w:val="-20"/>
        </w:rPr>
        <w:t xml:space="preserve"> </w:t>
      </w:r>
      <w:r>
        <w:t>aspects</w:t>
      </w:r>
      <w:r>
        <w:rPr>
          <w:spacing w:val="-20"/>
        </w:rPr>
        <w:t xml:space="preserve"> </w:t>
      </w:r>
      <w:r>
        <w:t>of</w:t>
      </w:r>
      <w:r>
        <w:rPr>
          <w:spacing w:val="-22"/>
        </w:rPr>
        <w:t xml:space="preserve"> </w:t>
      </w:r>
      <w:r>
        <w:t>employment,</w:t>
      </w:r>
      <w:r>
        <w:rPr>
          <w:spacing w:val="-17"/>
        </w:rPr>
        <w:t xml:space="preserve"> </w:t>
      </w:r>
      <w:r>
        <w:t>including</w:t>
      </w:r>
      <w:r>
        <w:rPr>
          <w:spacing w:val="-22"/>
        </w:rPr>
        <w:t xml:space="preserve"> </w:t>
      </w:r>
      <w:r>
        <w:t>recruiting,</w:t>
      </w:r>
      <w:r>
        <w:rPr>
          <w:spacing w:val="-19"/>
        </w:rPr>
        <w:t xml:space="preserve"> </w:t>
      </w:r>
      <w:r>
        <w:t>advertising,</w:t>
      </w:r>
      <w:r>
        <w:rPr>
          <w:spacing w:val="-20"/>
        </w:rPr>
        <w:t xml:space="preserve"> </w:t>
      </w:r>
      <w:r>
        <w:t xml:space="preserve">hiring, training, job placement, evaluation, classification, promotion, </w:t>
      </w:r>
      <w:r>
        <w:rPr>
          <w:spacing w:val="-3"/>
        </w:rPr>
        <w:t xml:space="preserve">transfer, </w:t>
      </w:r>
      <w:r>
        <w:t>work assignment, compensation, benefits, discipline, demotion, termination, reduction in force, recall, and any other term or condition of</w:t>
      </w:r>
      <w:r>
        <w:rPr>
          <w:spacing w:val="-15"/>
        </w:rPr>
        <w:t xml:space="preserve"> </w:t>
      </w:r>
      <w:r>
        <w:t>employment.</w:t>
      </w:r>
    </w:p>
    <w:p w14:paraId="76FC112B" w14:textId="4A9D7D8D" w:rsidR="003A738F" w:rsidRDefault="003A738F" w:rsidP="003A738F">
      <w:pPr>
        <w:pStyle w:val="Level1sub"/>
      </w:pPr>
      <w:r>
        <w:t xml:space="preserve">This Policy prohibits discrimination against employees or applicants for employment based on the following protected classes: race, </w:t>
      </w:r>
      <w:r>
        <w:rPr>
          <w:spacing w:val="-4"/>
        </w:rPr>
        <w:t xml:space="preserve">color, </w:t>
      </w:r>
      <w:r>
        <w:t xml:space="preserve">national origin, </w:t>
      </w:r>
      <w:r>
        <w:rPr>
          <w:spacing w:val="-3"/>
        </w:rPr>
        <w:t xml:space="preserve">ethnicity, </w:t>
      </w:r>
      <w:r>
        <w:t>religion, se</w:t>
      </w:r>
      <w:r w:rsidR="009B10BB">
        <w:t>x, gender identity or expression, pregnancy,</w:t>
      </w:r>
      <w:r>
        <w:t xml:space="preserve"> height, weight, marital status, age, disability, genetic information, veteran status, military service, or any other legally protected class. This Policy also prohibits </w:t>
      </w:r>
      <w:r w:rsidR="00B53E6D">
        <w:t>R</w:t>
      </w:r>
      <w:r>
        <w:t>etaliation based on a protected</w:t>
      </w:r>
      <w:r>
        <w:rPr>
          <w:spacing w:val="-20"/>
        </w:rPr>
        <w:t xml:space="preserve"> </w:t>
      </w:r>
      <w:r>
        <w:rPr>
          <w:spacing w:val="-3"/>
        </w:rPr>
        <w:t>activity.</w:t>
      </w:r>
    </w:p>
    <w:p w14:paraId="3F2B9A67" w14:textId="77777777" w:rsidR="003A738F" w:rsidRDefault="003A738F" w:rsidP="003A738F">
      <w:pPr>
        <w:pStyle w:val="Level1sub"/>
      </w:pPr>
      <w:r>
        <w:t>The</w:t>
      </w:r>
      <w:r>
        <w:rPr>
          <w:spacing w:val="-18"/>
        </w:rPr>
        <w:t xml:space="preserve"> </w:t>
      </w:r>
      <w:r>
        <w:t>District</w:t>
      </w:r>
      <w:r>
        <w:rPr>
          <w:spacing w:val="-20"/>
        </w:rPr>
        <w:t xml:space="preserve"> </w:t>
      </w:r>
      <w:r>
        <w:t>prohibits</w:t>
      </w:r>
      <w:r>
        <w:rPr>
          <w:spacing w:val="-22"/>
        </w:rPr>
        <w:t xml:space="preserve"> </w:t>
      </w:r>
      <w:r>
        <w:t>unlawful</w:t>
      </w:r>
      <w:r>
        <w:rPr>
          <w:spacing w:val="-21"/>
        </w:rPr>
        <w:t xml:space="preserve"> </w:t>
      </w:r>
      <w:r>
        <w:t>employment</w:t>
      </w:r>
      <w:r>
        <w:rPr>
          <w:spacing w:val="-22"/>
        </w:rPr>
        <w:t xml:space="preserve"> </w:t>
      </w:r>
      <w:r>
        <w:t>discrimination</w:t>
      </w:r>
      <w:r>
        <w:rPr>
          <w:spacing w:val="-21"/>
        </w:rPr>
        <w:t xml:space="preserve"> </w:t>
      </w:r>
      <w:r>
        <w:t>as</w:t>
      </w:r>
      <w:r>
        <w:rPr>
          <w:spacing w:val="-21"/>
        </w:rPr>
        <w:t xml:space="preserve"> </w:t>
      </w:r>
      <w:r>
        <w:t>required</w:t>
      </w:r>
      <w:r>
        <w:rPr>
          <w:spacing w:val="-17"/>
        </w:rPr>
        <w:t xml:space="preserve"> </w:t>
      </w:r>
      <w:r>
        <w:t>by</w:t>
      </w:r>
      <w:r>
        <w:rPr>
          <w:spacing w:val="-22"/>
        </w:rPr>
        <w:t xml:space="preserve"> </w:t>
      </w:r>
      <w:r>
        <w:t>applicable civil rights statutes,</w:t>
      </w:r>
      <w:r>
        <w:rPr>
          <w:spacing w:val="-4"/>
        </w:rPr>
        <w:t xml:space="preserve"> </w:t>
      </w:r>
      <w:r>
        <w:t>including:</w:t>
      </w:r>
    </w:p>
    <w:p w14:paraId="06CF3DF5" w14:textId="77777777" w:rsidR="003A738F" w:rsidRDefault="003A738F" w:rsidP="003A738F">
      <w:pPr>
        <w:pStyle w:val="Bulletlevel2"/>
      </w:pPr>
      <w:r>
        <w:t xml:space="preserve">Title VI of the Civil Rights Act of 1964, which prohibits discrimination based on race, </w:t>
      </w:r>
      <w:r>
        <w:rPr>
          <w:spacing w:val="-3"/>
        </w:rPr>
        <w:t xml:space="preserve">color, </w:t>
      </w:r>
      <w:r>
        <w:t>religion, or national</w:t>
      </w:r>
      <w:r>
        <w:rPr>
          <w:spacing w:val="3"/>
        </w:rPr>
        <w:t xml:space="preserve"> </w:t>
      </w:r>
      <w:r>
        <w:t>origin;</w:t>
      </w:r>
    </w:p>
    <w:p w14:paraId="57889FFE" w14:textId="77777777" w:rsidR="003A738F" w:rsidRDefault="003A738F" w:rsidP="003A738F">
      <w:pPr>
        <w:pStyle w:val="Bulletlevel2"/>
      </w:pPr>
      <w:r>
        <w:t>Title</w:t>
      </w:r>
      <w:r>
        <w:rPr>
          <w:spacing w:val="-8"/>
        </w:rPr>
        <w:t xml:space="preserve"> </w:t>
      </w:r>
      <w:r>
        <w:t>VII</w:t>
      </w:r>
      <w:r>
        <w:rPr>
          <w:spacing w:val="-9"/>
        </w:rPr>
        <w:t xml:space="preserve"> </w:t>
      </w:r>
      <w:r>
        <w:t>of</w:t>
      </w:r>
      <w:r>
        <w:rPr>
          <w:spacing w:val="-5"/>
        </w:rPr>
        <w:t xml:space="preserve"> </w:t>
      </w:r>
      <w:r>
        <w:t>the</w:t>
      </w:r>
      <w:r>
        <w:rPr>
          <w:spacing w:val="-8"/>
        </w:rPr>
        <w:t xml:space="preserve"> </w:t>
      </w:r>
      <w:r>
        <w:t>Civil</w:t>
      </w:r>
      <w:r>
        <w:rPr>
          <w:spacing w:val="-9"/>
        </w:rPr>
        <w:t xml:space="preserve"> </w:t>
      </w:r>
      <w:r>
        <w:t>Rights</w:t>
      </w:r>
      <w:r>
        <w:rPr>
          <w:spacing w:val="-18"/>
        </w:rPr>
        <w:t xml:space="preserve"> </w:t>
      </w:r>
      <w:r>
        <w:t>Act</w:t>
      </w:r>
      <w:r>
        <w:rPr>
          <w:spacing w:val="-7"/>
        </w:rPr>
        <w:t xml:space="preserve"> </w:t>
      </w:r>
      <w:r>
        <w:t>of</w:t>
      </w:r>
      <w:r>
        <w:rPr>
          <w:spacing w:val="-5"/>
        </w:rPr>
        <w:t xml:space="preserve"> </w:t>
      </w:r>
      <w:r>
        <w:t>1964,</w:t>
      </w:r>
      <w:r>
        <w:rPr>
          <w:spacing w:val="-7"/>
        </w:rPr>
        <w:t xml:space="preserve"> </w:t>
      </w:r>
      <w:r>
        <w:t>which</w:t>
      </w:r>
      <w:r>
        <w:rPr>
          <w:spacing w:val="-8"/>
        </w:rPr>
        <w:t xml:space="preserve"> </w:t>
      </w:r>
      <w:r>
        <w:t>prohibits</w:t>
      </w:r>
      <w:r>
        <w:rPr>
          <w:spacing w:val="-9"/>
        </w:rPr>
        <w:t xml:space="preserve"> </w:t>
      </w:r>
      <w:r>
        <w:t>discrimination</w:t>
      </w:r>
      <w:r>
        <w:rPr>
          <w:spacing w:val="-8"/>
        </w:rPr>
        <w:t xml:space="preserve"> </w:t>
      </w:r>
      <w:r>
        <w:t>based</w:t>
      </w:r>
      <w:r>
        <w:rPr>
          <w:spacing w:val="-10"/>
        </w:rPr>
        <w:t xml:space="preserve"> </w:t>
      </w:r>
      <w:r>
        <w:t xml:space="preserve">on race, </w:t>
      </w:r>
      <w:r>
        <w:rPr>
          <w:spacing w:val="-3"/>
        </w:rPr>
        <w:t xml:space="preserve">color, </w:t>
      </w:r>
      <w:r>
        <w:t>religion, sex</w:t>
      </w:r>
      <w:r w:rsidR="006D3A65">
        <w:t xml:space="preserve"> (including gender </w:t>
      </w:r>
      <w:r w:rsidR="006D3A65">
        <w:rPr>
          <w:spacing w:val="-3"/>
        </w:rPr>
        <w:t xml:space="preserve">identity, </w:t>
      </w:r>
      <w:r w:rsidR="006D3A65">
        <w:t>and sexual orientation)</w:t>
      </w:r>
      <w:r>
        <w:t>, or national</w:t>
      </w:r>
      <w:r>
        <w:rPr>
          <w:spacing w:val="4"/>
        </w:rPr>
        <w:t xml:space="preserve"> </w:t>
      </w:r>
      <w:r>
        <w:t>origin;</w:t>
      </w:r>
    </w:p>
    <w:p w14:paraId="2F6EB1C2" w14:textId="0884D239" w:rsidR="003A738F" w:rsidRDefault="003A738F" w:rsidP="003A738F">
      <w:pPr>
        <w:pStyle w:val="Bulletlevel2"/>
      </w:pPr>
      <w:r>
        <w:t>Title IX of the Education Amendments of 1972, which prohibits discrimination based on</w:t>
      </w:r>
      <w:r>
        <w:rPr>
          <w:spacing w:val="-4"/>
        </w:rPr>
        <w:t xml:space="preserve"> </w:t>
      </w:r>
      <w:r>
        <w:t>sex</w:t>
      </w:r>
      <w:r w:rsidR="00EA7F59">
        <w:t>;</w:t>
      </w:r>
    </w:p>
    <w:p w14:paraId="44A63B30" w14:textId="77777777" w:rsidR="003A738F" w:rsidRDefault="003A738F" w:rsidP="003A738F">
      <w:pPr>
        <w:pStyle w:val="Bulletlevel2"/>
      </w:pPr>
      <w:r>
        <w:t>Age Discrimination in Employment Act of 1967 (ADEA), which prohibits discrimination based on age as to persons who are at least 40 years</w:t>
      </w:r>
      <w:r>
        <w:rPr>
          <w:spacing w:val="-31"/>
        </w:rPr>
        <w:t xml:space="preserve"> </w:t>
      </w:r>
      <w:r>
        <w:t>old;</w:t>
      </w:r>
    </w:p>
    <w:p w14:paraId="383986DE" w14:textId="77777777" w:rsidR="003A738F" w:rsidRDefault="003A738F" w:rsidP="003A738F">
      <w:pPr>
        <w:pStyle w:val="Bulletlevel2"/>
      </w:pPr>
      <w:r>
        <w:t>Equal</w:t>
      </w:r>
      <w:r>
        <w:rPr>
          <w:spacing w:val="-8"/>
        </w:rPr>
        <w:t xml:space="preserve"> </w:t>
      </w:r>
      <w:r>
        <w:t>Pay</w:t>
      </w:r>
      <w:r>
        <w:rPr>
          <w:spacing w:val="-21"/>
        </w:rPr>
        <w:t xml:space="preserve"> </w:t>
      </w:r>
      <w:r>
        <w:t>Act</w:t>
      </w:r>
      <w:r>
        <w:rPr>
          <w:spacing w:val="-8"/>
        </w:rPr>
        <w:t xml:space="preserve"> </w:t>
      </w:r>
      <w:r>
        <w:t>of</w:t>
      </w:r>
      <w:r>
        <w:rPr>
          <w:spacing w:val="-5"/>
        </w:rPr>
        <w:t xml:space="preserve"> </w:t>
      </w:r>
      <w:r>
        <w:t>1963,</w:t>
      </w:r>
      <w:r>
        <w:rPr>
          <w:spacing w:val="-10"/>
        </w:rPr>
        <w:t xml:space="preserve"> </w:t>
      </w:r>
      <w:r>
        <w:t>which</w:t>
      </w:r>
      <w:r>
        <w:rPr>
          <w:spacing w:val="-7"/>
        </w:rPr>
        <w:t xml:space="preserve"> </w:t>
      </w:r>
      <w:r>
        <w:t>prohibits</w:t>
      </w:r>
      <w:r>
        <w:rPr>
          <w:spacing w:val="-8"/>
        </w:rPr>
        <w:t xml:space="preserve"> </w:t>
      </w:r>
      <w:r>
        <w:t>sex</w:t>
      </w:r>
      <w:r>
        <w:rPr>
          <w:spacing w:val="-10"/>
        </w:rPr>
        <w:t xml:space="preserve"> </w:t>
      </w:r>
      <w:r>
        <w:t>discrimination</w:t>
      </w:r>
      <w:r>
        <w:rPr>
          <w:spacing w:val="-7"/>
        </w:rPr>
        <w:t xml:space="preserve"> </w:t>
      </w:r>
      <w:r>
        <w:t>in</w:t>
      </w:r>
      <w:r>
        <w:rPr>
          <w:spacing w:val="-8"/>
        </w:rPr>
        <w:t xml:space="preserve"> </w:t>
      </w:r>
      <w:r>
        <w:t>payment</w:t>
      </w:r>
      <w:r>
        <w:rPr>
          <w:spacing w:val="-10"/>
        </w:rPr>
        <w:t xml:space="preserve"> </w:t>
      </w:r>
      <w:r>
        <w:t>of</w:t>
      </w:r>
      <w:r>
        <w:rPr>
          <w:spacing w:val="-2"/>
        </w:rPr>
        <w:t xml:space="preserve"> </w:t>
      </w:r>
      <w:r>
        <w:t>wages for persons performing substantially equal work in the same</w:t>
      </w:r>
      <w:r>
        <w:rPr>
          <w:spacing w:val="-31"/>
        </w:rPr>
        <w:t xml:space="preserve"> </w:t>
      </w:r>
      <w:r>
        <w:t>establishment;</w:t>
      </w:r>
    </w:p>
    <w:p w14:paraId="11F7B1BE" w14:textId="77777777" w:rsidR="003A738F" w:rsidRDefault="003A738F" w:rsidP="003A738F">
      <w:pPr>
        <w:pStyle w:val="Bulletlevel2"/>
      </w:pPr>
      <w:r>
        <w:t>Section 504 of the Rehabilitation Act of 1973 (Section 504), which prohibits discrimination based on</w:t>
      </w:r>
      <w:r>
        <w:rPr>
          <w:spacing w:val="-3"/>
        </w:rPr>
        <w:t xml:space="preserve"> </w:t>
      </w:r>
      <w:r>
        <w:t>disability;</w:t>
      </w:r>
    </w:p>
    <w:p w14:paraId="666A7740" w14:textId="77777777" w:rsidR="003A738F" w:rsidRDefault="003A738F" w:rsidP="003A738F">
      <w:pPr>
        <w:pStyle w:val="Bulletlevel2"/>
      </w:pPr>
      <w:r>
        <w:lastRenderedPageBreak/>
        <w:t>Americans with Disabilities Act of 1990 (ADA), which prohibits discrimination against</w:t>
      </w:r>
      <w:r>
        <w:rPr>
          <w:spacing w:val="-8"/>
        </w:rPr>
        <w:t xml:space="preserve"> </w:t>
      </w:r>
      <w:r>
        <w:t>qualified</w:t>
      </w:r>
      <w:r>
        <w:rPr>
          <w:spacing w:val="-9"/>
        </w:rPr>
        <w:t xml:space="preserve"> </w:t>
      </w:r>
      <w:r>
        <w:t>persons</w:t>
      </w:r>
      <w:r>
        <w:rPr>
          <w:spacing w:val="-5"/>
        </w:rPr>
        <w:t xml:space="preserve"> </w:t>
      </w:r>
      <w:r>
        <w:t>with</w:t>
      </w:r>
      <w:r>
        <w:rPr>
          <w:spacing w:val="-9"/>
        </w:rPr>
        <w:t xml:space="preserve"> </w:t>
      </w:r>
      <w:r>
        <w:t>disabilities</w:t>
      </w:r>
      <w:r>
        <w:rPr>
          <w:spacing w:val="-8"/>
        </w:rPr>
        <w:t xml:space="preserve"> </w:t>
      </w:r>
      <w:r>
        <w:t>in</w:t>
      </w:r>
      <w:r>
        <w:rPr>
          <w:spacing w:val="-9"/>
        </w:rPr>
        <w:t xml:space="preserve"> </w:t>
      </w:r>
      <w:r>
        <w:t>employment,</w:t>
      </w:r>
      <w:r>
        <w:rPr>
          <w:spacing w:val="-7"/>
        </w:rPr>
        <w:t xml:space="preserve"> </w:t>
      </w:r>
      <w:r>
        <w:t>public</w:t>
      </w:r>
      <w:r>
        <w:rPr>
          <w:spacing w:val="-8"/>
        </w:rPr>
        <w:t xml:space="preserve"> </w:t>
      </w:r>
      <w:r>
        <w:t>service,</w:t>
      </w:r>
      <w:r>
        <w:rPr>
          <w:spacing w:val="-7"/>
        </w:rPr>
        <w:t xml:space="preserve"> </w:t>
      </w:r>
      <w:r>
        <w:t>public accommodations, and</w:t>
      </w:r>
      <w:r>
        <w:rPr>
          <w:spacing w:val="-4"/>
        </w:rPr>
        <w:t xml:space="preserve"> </w:t>
      </w:r>
      <w:r>
        <w:t>telecommunications;</w:t>
      </w:r>
    </w:p>
    <w:p w14:paraId="156109A8" w14:textId="77777777" w:rsidR="003A738F" w:rsidRDefault="003A738F" w:rsidP="003A738F">
      <w:pPr>
        <w:pStyle w:val="Bulletlevel2"/>
      </w:pPr>
      <w:r>
        <w:t>Pregnancy</w:t>
      </w:r>
      <w:r>
        <w:rPr>
          <w:spacing w:val="-8"/>
        </w:rPr>
        <w:t xml:space="preserve"> </w:t>
      </w:r>
      <w:r>
        <w:t>Discrimination</w:t>
      </w:r>
      <w:r>
        <w:rPr>
          <w:spacing w:val="-21"/>
        </w:rPr>
        <w:t xml:space="preserve"> </w:t>
      </w:r>
      <w:r>
        <w:t>Act</w:t>
      </w:r>
      <w:r>
        <w:rPr>
          <w:spacing w:val="-7"/>
        </w:rPr>
        <w:t xml:space="preserve"> </w:t>
      </w:r>
      <w:r>
        <w:t>of</w:t>
      </w:r>
      <w:r>
        <w:rPr>
          <w:spacing w:val="-7"/>
        </w:rPr>
        <w:t xml:space="preserve"> </w:t>
      </w:r>
      <w:r>
        <w:t>1978,</w:t>
      </w:r>
      <w:r>
        <w:rPr>
          <w:spacing w:val="-5"/>
        </w:rPr>
        <w:t xml:space="preserve"> </w:t>
      </w:r>
      <w:r>
        <w:t>which</w:t>
      </w:r>
      <w:r>
        <w:rPr>
          <w:spacing w:val="-8"/>
        </w:rPr>
        <w:t xml:space="preserve"> </w:t>
      </w:r>
      <w:r>
        <w:t>prohibits</w:t>
      </w:r>
      <w:r>
        <w:rPr>
          <w:spacing w:val="-7"/>
        </w:rPr>
        <w:t xml:space="preserve"> </w:t>
      </w:r>
      <w:r>
        <w:t>discrimination</w:t>
      </w:r>
      <w:r>
        <w:rPr>
          <w:spacing w:val="-8"/>
        </w:rPr>
        <w:t xml:space="preserve"> </w:t>
      </w:r>
      <w:r>
        <w:t>based</w:t>
      </w:r>
      <w:r>
        <w:rPr>
          <w:spacing w:val="-8"/>
        </w:rPr>
        <w:t xml:space="preserve"> </w:t>
      </w:r>
      <w:r>
        <w:t xml:space="preserve">on </w:t>
      </w:r>
      <w:r>
        <w:rPr>
          <w:spacing w:val="-3"/>
        </w:rPr>
        <w:t xml:space="preserve">pregnancy, </w:t>
      </w:r>
      <w:r>
        <w:t>childbirth, or related medical</w:t>
      </w:r>
      <w:r>
        <w:rPr>
          <w:spacing w:val="-5"/>
        </w:rPr>
        <w:t xml:space="preserve"> </w:t>
      </w:r>
      <w:r>
        <w:t>conditions;</w:t>
      </w:r>
    </w:p>
    <w:p w14:paraId="1D86E8BE" w14:textId="77777777" w:rsidR="00C64E38" w:rsidRDefault="00C64E38" w:rsidP="00C64E38">
      <w:pPr>
        <w:pStyle w:val="Bulletlevel2"/>
      </w:pPr>
      <w:r>
        <w:t>Pregnant Workers Fairness Act (PWFA), which requires covered employers to provide reasonable accommodations to a worker’s known limitations related to pregnancy, childbirth, or related medical conditions, unless the accommodation will cause an undue hardship.</w:t>
      </w:r>
    </w:p>
    <w:p w14:paraId="46BC3504" w14:textId="77777777" w:rsidR="003A738F" w:rsidRDefault="003A738F" w:rsidP="003A738F">
      <w:pPr>
        <w:pStyle w:val="Bulletlevel2"/>
      </w:pPr>
      <w:r>
        <w:t>Genetic Information Non-Discrimination Act of 2008 (GINA), which prohibits discrimination based on genetic information as to health insurance and employment;</w:t>
      </w:r>
    </w:p>
    <w:p w14:paraId="782C994F" w14:textId="69E694A7" w:rsidR="003A738F" w:rsidRDefault="003A738F" w:rsidP="003A738F">
      <w:pPr>
        <w:pStyle w:val="Bulletlevel2"/>
      </w:pPr>
      <w:r>
        <w:t xml:space="preserve">Michigan Elliott-Larsen Civil Rights Act of 1976 (ELCRA), which prohibits discrimination based on race, </w:t>
      </w:r>
      <w:r>
        <w:rPr>
          <w:spacing w:val="-3"/>
        </w:rPr>
        <w:t xml:space="preserve">color, </w:t>
      </w:r>
      <w:r>
        <w:t>national origin, age, sex</w:t>
      </w:r>
      <w:r w:rsidR="00C64E38">
        <w:t>,</w:t>
      </w:r>
      <w:r>
        <w:t xml:space="preserve"> pregnancy</w:t>
      </w:r>
      <w:r w:rsidR="0062750A">
        <w:t>,</w:t>
      </w:r>
      <w:r w:rsidR="006D3A65">
        <w:t xml:space="preserve"> </w:t>
      </w:r>
      <w:r w:rsidR="0062750A">
        <w:t xml:space="preserve">sexual orientation, </w:t>
      </w:r>
      <w:r w:rsidR="006D3A65">
        <w:t>gender identity</w:t>
      </w:r>
      <w:r w:rsidR="00C659FF">
        <w:t xml:space="preserve"> or</w:t>
      </w:r>
      <w:r w:rsidR="0062750A">
        <w:t xml:space="preserve"> expression</w:t>
      </w:r>
      <w:r>
        <w:t>, religion, height, weight, or marital</w:t>
      </w:r>
      <w:r>
        <w:rPr>
          <w:spacing w:val="-4"/>
        </w:rPr>
        <w:t xml:space="preserve"> </w:t>
      </w:r>
      <w:r>
        <w:t>status;</w:t>
      </w:r>
    </w:p>
    <w:p w14:paraId="6202611C" w14:textId="257D2154" w:rsidR="003A738F" w:rsidRDefault="003A738F" w:rsidP="003A738F">
      <w:pPr>
        <w:pStyle w:val="Bulletlevel2"/>
      </w:pPr>
      <w:r>
        <w:t>Michigan Persons with Disabilities Civil Rights Act of 1976 (MPDCRA), which prohibits discrimination against qualified persons based on disability that is unrelated</w:t>
      </w:r>
      <w:r>
        <w:rPr>
          <w:spacing w:val="-11"/>
        </w:rPr>
        <w:t xml:space="preserve"> </w:t>
      </w:r>
      <w:r>
        <w:t>to</w:t>
      </w:r>
      <w:r>
        <w:rPr>
          <w:spacing w:val="-9"/>
        </w:rPr>
        <w:t xml:space="preserve"> </w:t>
      </w:r>
      <w:r>
        <w:t>that</w:t>
      </w:r>
      <w:r>
        <w:rPr>
          <w:spacing w:val="-9"/>
        </w:rPr>
        <w:t xml:space="preserve"> </w:t>
      </w:r>
      <w:r>
        <w:t>person’s</w:t>
      </w:r>
      <w:r>
        <w:rPr>
          <w:spacing w:val="-8"/>
        </w:rPr>
        <w:t xml:space="preserve"> </w:t>
      </w:r>
      <w:r>
        <w:t>ability</w:t>
      </w:r>
      <w:r>
        <w:rPr>
          <w:spacing w:val="-11"/>
        </w:rPr>
        <w:t xml:space="preserve"> </w:t>
      </w:r>
      <w:r>
        <w:t>to</w:t>
      </w:r>
      <w:r>
        <w:rPr>
          <w:spacing w:val="-7"/>
        </w:rPr>
        <w:t xml:space="preserve"> </w:t>
      </w:r>
      <w:r>
        <w:t>perform</w:t>
      </w:r>
      <w:r>
        <w:rPr>
          <w:spacing w:val="-10"/>
        </w:rPr>
        <w:t xml:space="preserve"> </w:t>
      </w:r>
      <w:r>
        <w:t>the</w:t>
      </w:r>
      <w:r>
        <w:rPr>
          <w:spacing w:val="-6"/>
        </w:rPr>
        <w:t xml:space="preserve"> </w:t>
      </w:r>
      <w:r>
        <w:t>duties</w:t>
      </w:r>
      <w:r>
        <w:rPr>
          <w:spacing w:val="-9"/>
        </w:rPr>
        <w:t xml:space="preserve"> </w:t>
      </w:r>
      <w:r>
        <w:t>of</w:t>
      </w:r>
      <w:r>
        <w:rPr>
          <w:spacing w:val="-8"/>
        </w:rPr>
        <w:t xml:space="preserve"> </w:t>
      </w:r>
      <w:r>
        <w:t>a</w:t>
      </w:r>
      <w:r>
        <w:rPr>
          <w:spacing w:val="-10"/>
        </w:rPr>
        <w:t xml:space="preserve"> </w:t>
      </w:r>
      <w:r>
        <w:t>particular</w:t>
      </w:r>
      <w:r>
        <w:rPr>
          <w:spacing w:val="-14"/>
        </w:rPr>
        <w:t xml:space="preserve"> </w:t>
      </w:r>
      <w:r>
        <w:t>position</w:t>
      </w:r>
      <w:r>
        <w:rPr>
          <w:spacing w:val="-9"/>
        </w:rPr>
        <w:t xml:space="preserve"> </w:t>
      </w:r>
      <w:r>
        <w:t>or genetic</w:t>
      </w:r>
      <w:r>
        <w:rPr>
          <w:spacing w:val="-2"/>
        </w:rPr>
        <w:t xml:space="preserve"> </w:t>
      </w:r>
      <w:r>
        <w:t>information;</w:t>
      </w:r>
      <w:r w:rsidR="003B554B">
        <w:t xml:space="preserve"> and</w:t>
      </w:r>
    </w:p>
    <w:p w14:paraId="1054614A" w14:textId="45A6BB3C" w:rsidR="003A738F" w:rsidRDefault="003A738F" w:rsidP="003A738F">
      <w:pPr>
        <w:pStyle w:val="Bulletlevel2"/>
      </w:pPr>
      <w:r>
        <w:t>Michigan Equal Pay Act, which prohibits discriminatory wage practices based on sex</w:t>
      </w:r>
      <w:r w:rsidR="003B554B">
        <w:t>.</w:t>
      </w:r>
    </w:p>
    <w:p w14:paraId="2869C07E" w14:textId="2B13C859" w:rsidR="003B554B" w:rsidRDefault="003B554B" w:rsidP="003B554B">
      <w:pPr>
        <w:pStyle w:val="Bulletlevel2"/>
        <w:numPr>
          <w:ilvl w:val="0"/>
          <w:numId w:val="0"/>
        </w:numPr>
        <w:ind w:left="720"/>
      </w:pPr>
      <w:r>
        <w:t>The District also complies with and prohibits employment action that violates the following statues:</w:t>
      </w:r>
    </w:p>
    <w:p w14:paraId="799F5BE8" w14:textId="75015917" w:rsidR="003B554B" w:rsidRDefault="003B554B" w:rsidP="00B30735">
      <w:pPr>
        <w:pStyle w:val="Bulletlevel2"/>
      </w:pPr>
      <w:r>
        <w:t>Family and Medical Leave Act of 1993 (FMLA), which requires covered employers to provide up to 12 work weeks of unpaid, job-protected leave to eligible employees for certain family, military, and medical reasons, and up to 2</w:t>
      </w:r>
      <w:r w:rsidR="004365B9">
        <w:t>6</w:t>
      </w:r>
      <w:r>
        <w:t xml:space="preserve"> work weeks to care for a covered service member with a serious injury or illness;</w:t>
      </w:r>
    </w:p>
    <w:p w14:paraId="71506A43" w14:textId="074A46E5" w:rsidR="003B554B" w:rsidRDefault="009B10BB" w:rsidP="00B30735">
      <w:pPr>
        <w:pStyle w:val="Bulletlevel2"/>
      </w:pPr>
      <w:r>
        <w:t>Earned Sick Time</w:t>
      </w:r>
      <w:r w:rsidR="003B554B">
        <w:t xml:space="preserve"> Act </w:t>
      </w:r>
      <w:r>
        <w:t>(ESTA),</w:t>
      </w:r>
      <w:r w:rsidR="003B554B">
        <w:t xml:space="preserve"> which provides eligible employees </w:t>
      </w:r>
      <w:r>
        <w:t>with earned sick time that may be used</w:t>
      </w:r>
      <w:r w:rsidR="003B554B">
        <w:t xml:space="preserve"> for certain reasons;</w:t>
      </w:r>
    </w:p>
    <w:p w14:paraId="6417B116" w14:textId="4FFB1DB1" w:rsidR="003B554B" w:rsidRDefault="003B554B" w:rsidP="00B30735">
      <w:pPr>
        <w:pStyle w:val="Bulletlevel2"/>
      </w:pPr>
      <w:r>
        <w:t>Uniformed Services Employment and Reemployment Rights Act of 1994 (USERRA), which provides job protection and reemployment rights to individuals who voluntarily or involuntarily leave employment to undertake military service, including military reservists and National Guard members called to duty;</w:t>
      </w:r>
    </w:p>
    <w:p w14:paraId="728DB59B" w14:textId="5C30193A" w:rsidR="00B30735" w:rsidRDefault="003A738F" w:rsidP="00B30735">
      <w:pPr>
        <w:pStyle w:val="Bulletlevel2"/>
      </w:pPr>
      <w:r>
        <w:lastRenderedPageBreak/>
        <w:t>Public Employment Relations Act of 1947 (PERA), which prohibits a public employer from discriminating against an employee based on membership or non-membership in a labor</w:t>
      </w:r>
      <w:r>
        <w:rPr>
          <w:spacing w:val="-6"/>
        </w:rPr>
        <w:t xml:space="preserve"> </w:t>
      </w:r>
      <w:r>
        <w:t>organization</w:t>
      </w:r>
      <w:r w:rsidR="003B554B">
        <w:t>;</w:t>
      </w:r>
    </w:p>
    <w:p w14:paraId="3C44AD52" w14:textId="0DFA76E5" w:rsidR="003B554B" w:rsidRDefault="003B554B" w:rsidP="00B30735">
      <w:pPr>
        <w:pStyle w:val="Bulletlevel2"/>
      </w:pPr>
      <w:r>
        <w:t>Fair Labor Standards Act of 1938 (FLSA), which establishes minimum wage, overtime pay, record keeping, and youth employment standards affecting employees; and</w:t>
      </w:r>
    </w:p>
    <w:p w14:paraId="2C872999" w14:textId="6401A31E" w:rsidR="00B30735" w:rsidRDefault="00B30735" w:rsidP="00B30735">
      <w:pPr>
        <w:pStyle w:val="Bulletlevel2"/>
      </w:pPr>
      <w:r>
        <w:t>Michigan Whistleblower Protection Act of 1980, which protects employees who report a violation or suspected violation of state, local, or federal law and employees who participate in hearings, investigations, or court actions.</w:t>
      </w:r>
    </w:p>
    <w:p w14:paraId="7B441BCD" w14:textId="77777777" w:rsidR="003A738F" w:rsidRPr="003A738F" w:rsidRDefault="003A738F" w:rsidP="003A738F">
      <w:pPr>
        <w:pStyle w:val="Level1"/>
      </w:pPr>
      <w:r>
        <w:rPr>
          <w:position w:val="1"/>
        </w:rPr>
        <w:t>Reporting</w:t>
      </w:r>
      <w:r>
        <w:rPr>
          <w:spacing w:val="-2"/>
          <w:position w:val="1"/>
        </w:rPr>
        <w:t xml:space="preserve"> </w:t>
      </w:r>
      <w:r>
        <w:rPr>
          <w:position w:val="1"/>
        </w:rPr>
        <w:t>Requirements</w:t>
      </w:r>
    </w:p>
    <w:p w14:paraId="7EEB825A" w14:textId="0EF4E051" w:rsidR="003A738F" w:rsidRDefault="003A738F" w:rsidP="003A738F">
      <w:pPr>
        <w:pStyle w:val="Level1sub"/>
      </w:pPr>
      <w:r w:rsidRPr="00472730">
        <w:t xml:space="preserve">Any employee who believes he/she has been subjected to behavior that violates this Policy </w:t>
      </w:r>
      <w:r w:rsidR="003B554B">
        <w:t>is encouraged to</w:t>
      </w:r>
      <w:r w:rsidRPr="00472730">
        <w:t xml:space="preserve"> file a complaint </w:t>
      </w:r>
      <w:r w:rsidR="003B554B">
        <w:t>promptly with a supervisor. A complaint implicating an individual’s civil rights will be investigated pursuant to the procedures outlined</w:t>
      </w:r>
      <w:r>
        <w:t xml:space="preserve"> in Policy </w:t>
      </w:r>
      <w:r w:rsidR="003B554B">
        <w:t>4104 and 3115-3115H.</w:t>
      </w:r>
      <w:r w:rsidR="00EA7F59">
        <w:t xml:space="preserve"> A complaint alleging Title IX sexual harassment will be investigated pursuant to the procedures outlined in Policy 3118.</w:t>
      </w:r>
    </w:p>
    <w:p w14:paraId="2BF4B2B4" w14:textId="4DA0798E" w:rsidR="003A738F" w:rsidRDefault="003A738F" w:rsidP="003A738F">
      <w:pPr>
        <w:pStyle w:val="Level1sub"/>
      </w:pPr>
      <w:r>
        <w:t>Employees with questions about compliance with this Policy and applicable laws should contact the Superintendent or the Employment Compliance Officer(s)</w:t>
      </w:r>
      <w:r w:rsidR="00B53E6D">
        <w:t xml:space="preserve"> identified in Policy 3115B.</w:t>
      </w:r>
    </w:p>
    <w:p w14:paraId="65786E8B" w14:textId="76D21AC3" w:rsidR="003A738F" w:rsidRDefault="003A738F" w:rsidP="003A738F">
      <w:pPr>
        <w:pStyle w:val="Level1sub"/>
      </w:pPr>
      <w:r>
        <w:t>Board</w:t>
      </w:r>
      <w:r>
        <w:rPr>
          <w:spacing w:val="-17"/>
        </w:rPr>
        <w:t xml:space="preserve"> </w:t>
      </w:r>
      <w:r>
        <w:t>members,</w:t>
      </w:r>
      <w:r>
        <w:rPr>
          <w:spacing w:val="-11"/>
        </w:rPr>
        <w:t xml:space="preserve"> </w:t>
      </w:r>
      <w:r>
        <w:t>administrators,</w:t>
      </w:r>
      <w:r>
        <w:rPr>
          <w:spacing w:val="-14"/>
        </w:rPr>
        <w:t xml:space="preserve"> </w:t>
      </w:r>
      <w:r>
        <w:t>and</w:t>
      </w:r>
      <w:r>
        <w:rPr>
          <w:spacing w:val="-10"/>
        </w:rPr>
        <w:t xml:space="preserve"> </w:t>
      </w:r>
      <w:r>
        <w:t>supervisors</w:t>
      </w:r>
      <w:r>
        <w:rPr>
          <w:spacing w:val="-15"/>
        </w:rPr>
        <w:t xml:space="preserve"> </w:t>
      </w:r>
      <w:r>
        <w:t>must</w:t>
      </w:r>
      <w:r>
        <w:rPr>
          <w:spacing w:val="-15"/>
        </w:rPr>
        <w:t xml:space="preserve"> </w:t>
      </w:r>
      <w:r>
        <w:t>promptly</w:t>
      </w:r>
      <w:r>
        <w:rPr>
          <w:spacing w:val="-16"/>
        </w:rPr>
        <w:t xml:space="preserve"> </w:t>
      </w:r>
      <w:r>
        <w:t>report</w:t>
      </w:r>
      <w:r>
        <w:rPr>
          <w:spacing w:val="-14"/>
        </w:rPr>
        <w:t xml:space="preserve"> </w:t>
      </w:r>
      <w:r>
        <w:t>incidents</w:t>
      </w:r>
      <w:r>
        <w:rPr>
          <w:spacing w:val="-15"/>
        </w:rPr>
        <w:t xml:space="preserve"> </w:t>
      </w:r>
      <w:r>
        <w:t xml:space="preserve">of </w:t>
      </w:r>
      <w:r w:rsidR="00B53E6D">
        <w:t>U</w:t>
      </w:r>
      <w:r>
        <w:t xml:space="preserve">nlawful </w:t>
      </w:r>
      <w:r w:rsidR="00B53E6D">
        <w:t>D</w:t>
      </w:r>
      <w:r>
        <w:t xml:space="preserve">iscrimination and </w:t>
      </w:r>
      <w:r w:rsidR="00B53E6D">
        <w:t>R</w:t>
      </w:r>
      <w:r>
        <w:t>etaliation</w:t>
      </w:r>
      <w:r w:rsidR="00B53E6D">
        <w:t xml:space="preserve"> </w:t>
      </w:r>
      <w:r>
        <w:t xml:space="preserve">that </w:t>
      </w:r>
      <w:r w:rsidR="00B53E6D">
        <w:t>he/she</w:t>
      </w:r>
      <w:r>
        <w:t xml:space="preserve"> observes or about which he/she receives</w:t>
      </w:r>
      <w:r>
        <w:rPr>
          <w:spacing w:val="-6"/>
        </w:rPr>
        <w:t xml:space="preserve"> </w:t>
      </w:r>
      <w:r>
        <w:t>information.</w:t>
      </w:r>
    </w:p>
    <w:p w14:paraId="5835AB74" w14:textId="7E55910C" w:rsidR="003A738F" w:rsidRDefault="003A738F" w:rsidP="003A738F">
      <w:pPr>
        <w:pStyle w:val="Level1sub"/>
      </w:pPr>
      <w:r>
        <w:t xml:space="preserve">Board members, administrators, </w:t>
      </w:r>
      <w:r w:rsidR="00B53E6D">
        <w:t>or</w:t>
      </w:r>
      <w:r>
        <w:t xml:space="preserve"> supervisors who receive a complaint alleging a violation of this Policy must promptly report the complaint, in writing, to the Employment Compliance Officer(s)</w:t>
      </w:r>
      <w:r w:rsidR="00B53E6D">
        <w:t xml:space="preserve"> identified in Policy 3115B</w:t>
      </w:r>
      <w:r>
        <w:t>.</w:t>
      </w:r>
    </w:p>
    <w:p w14:paraId="1DFF5CA1" w14:textId="77777777" w:rsidR="003A738F" w:rsidRDefault="003A738F" w:rsidP="003A738F">
      <w:pPr>
        <w:pStyle w:val="Level1sub"/>
      </w:pPr>
      <w:r>
        <w:t>A failure to comply with reporting requirements may result in discipline, including discharge.</w:t>
      </w:r>
    </w:p>
    <w:p w14:paraId="68915E02" w14:textId="77777777" w:rsidR="003A738F" w:rsidRPr="003A738F" w:rsidRDefault="003A738F" w:rsidP="003A738F">
      <w:pPr>
        <w:pStyle w:val="Level1"/>
      </w:pPr>
      <w:r>
        <w:rPr>
          <w:position w:val="1"/>
        </w:rPr>
        <w:t>Employment Discrimination Compliance</w:t>
      </w:r>
      <w:r>
        <w:rPr>
          <w:spacing w:val="-8"/>
          <w:position w:val="1"/>
        </w:rPr>
        <w:t xml:space="preserve"> </w:t>
      </w:r>
      <w:r>
        <w:rPr>
          <w:position w:val="1"/>
        </w:rPr>
        <w:t>Training</w:t>
      </w:r>
    </w:p>
    <w:p w14:paraId="2BD0648B" w14:textId="4BA628EB" w:rsidR="003A738F" w:rsidRDefault="003A738F" w:rsidP="003A738F">
      <w:pPr>
        <w:pStyle w:val="Level1sub"/>
      </w:pPr>
      <w:r>
        <w:t>The</w:t>
      </w:r>
      <w:r>
        <w:rPr>
          <w:spacing w:val="-17"/>
        </w:rPr>
        <w:t xml:space="preserve"> </w:t>
      </w:r>
      <w:r>
        <w:t>District</w:t>
      </w:r>
      <w:r>
        <w:rPr>
          <w:spacing w:val="-16"/>
        </w:rPr>
        <w:t xml:space="preserve"> </w:t>
      </w:r>
      <w:r>
        <w:t>will</w:t>
      </w:r>
      <w:r>
        <w:rPr>
          <w:spacing w:val="-21"/>
        </w:rPr>
        <w:t xml:space="preserve"> </w:t>
      </w:r>
      <w:r>
        <w:t>train</w:t>
      </w:r>
      <w:r>
        <w:rPr>
          <w:spacing w:val="-18"/>
        </w:rPr>
        <w:t xml:space="preserve"> </w:t>
      </w:r>
      <w:r>
        <w:t>administrators,</w:t>
      </w:r>
      <w:r>
        <w:rPr>
          <w:spacing w:val="-18"/>
        </w:rPr>
        <w:t xml:space="preserve"> </w:t>
      </w:r>
      <w:r>
        <w:t>supervisors,</w:t>
      </w:r>
      <w:r>
        <w:rPr>
          <w:spacing w:val="-18"/>
        </w:rPr>
        <w:t xml:space="preserve"> </w:t>
      </w:r>
      <w:r>
        <w:t>and</w:t>
      </w:r>
      <w:r>
        <w:rPr>
          <w:spacing w:val="-20"/>
        </w:rPr>
        <w:t xml:space="preserve"> </w:t>
      </w:r>
      <w:r>
        <w:t>the</w:t>
      </w:r>
      <w:r>
        <w:rPr>
          <w:spacing w:val="-18"/>
        </w:rPr>
        <w:t xml:space="preserve"> </w:t>
      </w:r>
      <w:r>
        <w:t>Employment</w:t>
      </w:r>
      <w:r>
        <w:rPr>
          <w:spacing w:val="-16"/>
        </w:rPr>
        <w:t xml:space="preserve"> </w:t>
      </w:r>
      <w:r>
        <w:t xml:space="preserve">Compliance Officer(s) on how to address and investigate </w:t>
      </w:r>
      <w:r w:rsidR="00B53E6D">
        <w:t>Unlawful D</w:t>
      </w:r>
      <w:r>
        <w:t xml:space="preserve">iscrimination and </w:t>
      </w:r>
      <w:r w:rsidR="00B53E6D">
        <w:t>R</w:t>
      </w:r>
      <w:r>
        <w:t>etaliation complaints.</w:t>
      </w:r>
    </w:p>
    <w:p w14:paraId="74ADFEF6" w14:textId="0A047C52" w:rsidR="003A738F" w:rsidRDefault="003A738F" w:rsidP="003A738F">
      <w:pPr>
        <w:pStyle w:val="Level1sub"/>
      </w:pPr>
      <w:r>
        <w:t xml:space="preserve">The District may also provide </w:t>
      </w:r>
      <w:r w:rsidR="00B53E6D">
        <w:t>Unlawful D</w:t>
      </w:r>
      <w:r>
        <w:t xml:space="preserve">iscrimination and </w:t>
      </w:r>
      <w:r w:rsidR="00B53E6D">
        <w:t>R</w:t>
      </w:r>
      <w:r>
        <w:t>etaliation training to Board members and employees.</w:t>
      </w:r>
    </w:p>
    <w:p w14:paraId="521B14BC" w14:textId="77777777" w:rsidR="003A738F" w:rsidRDefault="003A738F" w:rsidP="003A738F">
      <w:pPr>
        <w:pStyle w:val="Level1sub"/>
      </w:pPr>
      <w:r>
        <w:t>Training may be provided by an outside entity or person approved by the District.</w:t>
      </w:r>
    </w:p>
    <w:p w14:paraId="73F74364" w14:textId="1047F190" w:rsidR="003A738F" w:rsidRDefault="00591C3F" w:rsidP="003A738F">
      <w:pPr>
        <w:pStyle w:val="Legal"/>
      </w:pPr>
      <w:r>
        <w:t>Legal authority:</w:t>
      </w:r>
      <w:r>
        <w:tab/>
      </w:r>
      <w:r w:rsidR="003A738F">
        <w:t>20 USC 1681 et seq.; 29 USC 206 et seq., 701 et seq., 2601 et seq.;</w:t>
      </w:r>
      <w:r w:rsidR="003A738F">
        <w:rPr>
          <w:spacing w:val="-29"/>
        </w:rPr>
        <w:t xml:space="preserve"> </w:t>
      </w:r>
      <w:r w:rsidR="003A738F">
        <w:t xml:space="preserve">38USC 4301 et seq.; 42 USC 2000d et seq., 2000e et seq., 2000ff et </w:t>
      </w:r>
      <w:r w:rsidR="003A738F">
        <w:lastRenderedPageBreak/>
        <w:t>seq., 12101</w:t>
      </w:r>
      <w:r w:rsidR="003A738F">
        <w:rPr>
          <w:spacing w:val="18"/>
        </w:rPr>
        <w:t xml:space="preserve"> </w:t>
      </w:r>
      <w:r w:rsidR="003A738F">
        <w:t>et</w:t>
      </w:r>
      <w:r w:rsidR="003A738F">
        <w:rPr>
          <w:spacing w:val="16"/>
        </w:rPr>
        <w:t xml:space="preserve"> </w:t>
      </w:r>
      <w:r w:rsidR="003A738F">
        <w:t>seq.;</w:t>
      </w:r>
      <w:r w:rsidR="003A738F">
        <w:rPr>
          <w:spacing w:val="16"/>
        </w:rPr>
        <w:t xml:space="preserve"> </w:t>
      </w:r>
      <w:r w:rsidR="007C315C" w:rsidRPr="00CC2265">
        <w:rPr>
          <w:spacing w:val="16"/>
        </w:rPr>
        <w:t xml:space="preserve">H.R. 2617-1626, 117th Cong. § 103(1) (signed into law December 29, 2022); </w:t>
      </w:r>
      <w:r w:rsidR="003A738F">
        <w:t>MCL</w:t>
      </w:r>
      <w:r w:rsidR="003A738F">
        <w:rPr>
          <w:spacing w:val="5"/>
        </w:rPr>
        <w:t xml:space="preserve"> </w:t>
      </w:r>
      <w:r w:rsidR="003A738F">
        <w:rPr>
          <w:spacing w:val="-3"/>
        </w:rPr>
        <w:t>37.1101</w:t>
      </w:r>
      <w:r w:rsidR="003A738F">
        <w:rPr>
          <w:spacing w:val="18"/>
        </w:rPr>
        <w:t xml:space="preserve"> </w:t>
      </w:r>
      <w:r w:rsidR="003A738F">
        <w:t>et</w:t>
      </w:r>
      <w:r w:rsidR="003A738F">
        <w:rPr>
          <w:spacing w:val="16"/>
        </w:rPr>
        <w:t xml:space="preserve"> </w:t>
      </w:r>
      <w:r w:rsidR="003A738F">
        <w:t>seq.,</w:t>
      </w:r>
      <w:r w:rsidR="003A738F">
        <w:rPr>
          <w:spacing w:val="18"/>
        </w:rPr>
        <w:t xml:space="preserve"> </w:t>
      </w:r>
      <w:r w:rsidR="003A738F">
        <w:t>37.2101</w:t>
      </w:r>
      <w:r w:rsidR="003A738F">
        <w:rPr>
          <w:spacing w:val="16"/>
        </w:rPr>
        <w:t xml:space="preserve"> </w:t>
      </w:r>
      <w:r w:rsidR="003A738F">
        <w:t>et</w:t>
      </w:r>
      <w:r w:rsidR="003A738F">
        <w:rPr>
          <w:spacing w:val="15"/>
        </w:rPr>
        <w:t xml:space="preserve"> </w:t>
      </w:r>
      <w:r w:rsidR="003A738F">
        <w:t>seq.;</w:t>
      </w:r>
      <w:r w:rsidR="003A738F">
        <w:rPr>
          <w:spacing w:val="19"/>
        </w:rPr>
        <w:t xml:space="preserve"> </w:t>
      </w:r>
      <w:r w:rsidR="003A738F">
        <w:t>MCL</w:t>
      </w:r>
      <w:r w:rsidR="003A738F">
        <w:rPr>
          <w:spacing w:val="10"/>
        </w:rPr>
        <w:t xml:space="preserve"> </w:t>
      </w:r>
      <w:r w:rsidR="003A738F">
        <w:t>423.201</w:t>
      </w:r>
      <w:r w:rsidR="003A738F">
        <w:rPr>
          <w:spacing w:val="16"/>
        </w:rPr>
        <w:t xml:space="preserve"> </w:t>
      </w:r>
      <w:r w:rsidR="003A738F">
        <w:t>et seq.; MCL 750.556</w:t>
      </w:r>
      <w:r w:rsidR="00B53E6D">
        <w:t>; 34 CFR 106.1 et seq.</w:t>
      </w:r>
      <w:r w:rsidR="009B10BB">
        <w:t xml:space="preserve">; MCL 408.934b, 408.961 et seq., </w:t>
      </w:r>
      <w:r w:rsidR="009B10BB" w:rsidRPr="009B10BB">
        <w:rPr>
          <w:i/>
          <w:iCs/>
        </w:rPr>
        <w:t>Mothering Justice v Attorney General</w:t>
      </w:r>
      <w:r w:rsidR="009B10BB">
        <w:t>, 2024 Mich LEXIS 1454 (July 31, 2024)</w:t>
      </w:r>
    </w:p>
    <w:p w14:paraId="6FE13E06" w14:textId="56321105" w:rsidR="003A738F" w:rsidRPr="003A738F" w:rsidRDefault="003A738F" w:rsidP="003A738F">
      <w:pPr>
        <w:pStyle w:val="PolicyBody"/>
      </w:pPr>
      <w:r w:rsidRPr="003A738F">
        <w:t>Date adopted:</w:t>
      </w:r>
      <w:r w:rsidR="00AF38EB">
        <w:t xml:space="preserve"> June 10, 2024</w:t>
      </w:r>
    </w:p>
    <w:p w14:paraId="2F155F32" w14:textId="39D73AA8" w:rsidR="003A738F" w:rsidRPr="003A738F" w:rsidRDefault="003A738F" w:rsidP="003A738F">
      <w:pPr>
        <w:pStyle w:val="PolicyBody"/>
      </w:pPr>
      <w:r w:rsidRPr="003A738F">
        <w:t>Date revised:</w:t>
      </w:r>
      <w:r w:rsidR="00B53E6D">
        <w:t xml:space="preserve"> </w:t>
      </w:r>
      <w:r w:rsidR="009B10BB">
        <w:t xml:space="preserve">October 20, 2025; </w:t>
      </w:r>
      <w:r w:rsidR="00EA7F59">
        <w:t>April 21, 2025</w:t>
      </w:r>
    </w:p>
    <w:sectPr w:rsidR="003A738F" w:rsidRPr="003A738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DB031" w14:textId="77777777" w:rsidR="00944308" w:rsidRDefault="00944308" w:rsidP="00992EDB">
      <w:r>
        <w:separator/>
      </w:r>
    </w:p>
  </w:endnote>
  <w:endnote w:type="continuationSeparator" w:id="0">
    <w:p w14:paraId="61AA5C0A" w14:textId="77777777" w:rsidR="00944308" w:rsidRDefault="00944308"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Copperplate Gothic Bold">
    <w:altName w:val="CopprplGoth Bd BT"/>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500D6" w14:textId="7F700950" w:rsidR="005D49FE" w:rsidRPr="005D49FE" w:rsidRDefault="00947451" w:rsidP="005D49FE">
    <w:pPr>
      <w:pStyle w:val="PolicyFooter"/>
    </w:pPr>
    <w:r>
      <w:drawing>
        <wp:anchor distT="0" distB="0" distL="114300" distR="114300" simplePos="0" relativeHeight="251658240" behindDoc="1" locked="0" layoutInCell="1" allowOverlap="1" wp14:anchorId="2FFCD078" wp14:editId="10D650D5">
          <wp:simplePos x="0" y="0"/>
          <wp:positionH relativeFrom="column">
            <wp:posOffset>445135</wp:posOffset>
          </wp:positionH>
          <wp:positionV relativeFrom="paragraph">
            <wp:posOffset>-96575</wp:posOffset>
          </wp:positionV>
          <wp:extent cx="1089660" cy="363220"/>
          <wp:effectExtent l="0" t="0" r="0" b="0"/>
          <wp:wrapNone/>
          <wp:docPr id="1" name="Picture 1"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t>© 20</w:t>
    </w:r>
    <w:r w:rsidR="00323FF8">
      <w:t>2</w:t>
    </w:r>
    <w:r w:rsidR="00EA7F59">
      <w:t>5</w:t>
    </w:r>
    <w:r w:rsidR="005D49F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48991" w14:textId="77777777" w:rsidR="00944308" w:rsidRDefault="00944308" w:rsidP="00992EDB">
      <w:r>
        <w:separator/>
      </w:r>
    </w:p>
  </w:footnote>
  <w:footnote w:type="continuationSeparator" w:id="0">
    <w:p w14:paraId="316B8A0B" w14:textId="77777777" w:rsidR="00944308" w:rsidRDefault="00944308" w:rsidP="0099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8D1DB" w14:textId="1420B10D" w:rsidR="00AF38EB" w:rsidRDefault="00AF38EB" w:rsidP="00AF38EB">
    <w:pPr>
      <w:pStyle w:val="Header"/>
      <w:jc w:val="center"/>
    </w:pPr>
    <w:r>
      <w:rPr>
        <w:noProof/>
      </w:rPr>
      <w:drawing>
        <wp:inline distT="0" distB="0" distL="0" distR="0" wp14:anchorId="4534FA8B" wp14:editId="1C7C7087">
          <wp:extent cx="2085975" cy="429895"/>
          <wp:effectExtent l="0" t="0" r="9525" b="825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77.25pt;height:67.5pt" o:bullet="t">
        <v:imagedata r:id="rId1" o:title="Logo_B_Color"/>
      </v:shape>
    </w:pict>
  </w:numPicBullet>
  <w:abstractNum w:abstractNumId="0" w15:restartNumberingAfterBreak="0">
    <w:nsid w:val="00E911D4"/>
    <w:multiLevelType w:val="multilevel"/>
    <w:tmpl w:val="127C77AE"/>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0CE730DA"/>
    <w:multiLevelType w:val="hybridMultilevel"/>
    <w:tmpl w:val="C6961600"/>
    <w:lvl w:ilvl="0" w:tplc="80B87AF4">
      <w:numFmt w:val="bullet"/>
      <w:lvlText w:val="☐"/>
      <w:lvlJc w:val="left"/>
      <w:pPr>
        <w:ind w:left="664" w:hanging="456"/>
      </w:pPr>
      <w:rPr>
        <w:rFonts w:ascii="Segoe UI Emoji" w:eastAsia="Segoe UI Emoji" w:hAnsi="Segoe UI Emoji" w:cs="Segoe UI Emoji" w:hint="default"/>
        <w:w w:val="99"/>
        <w:sz w:val="24"/>
        <w:szCs w:val="24"/>
      </w:rPr>
    </w:lvl>
    <w:lvl w:ilvl="1" w:tplc="4ABEDF24">
      <w:numFmt w:val="bullet"/>
      <w:lvlText w:val="•"/>
      <w:lvlJc w:val="left"/>
      <w:pPr>
        <w:ind w:left="1684" w:hanging="456"/>
      </w:pPr>
      <w:rPr>
        <w:rFonts w:hint="default"/>
      </w:rPr>
    </w:lvl>
    <w:lvl w:ilvl="2" w:tplc="FD2288F6">
      <w:numFmt w:val="bullet"/>
      <w:lvlText w:val="•"/>
      <w:lvlJc w:val="left"/>
      <w:pPr>
        <w:ind w:left="2708" w:hanging="456"/>
      </w:pPr>
      <w:rPr>
        <w:rFonts w:hint="default"/>
      </w:rPr>
    </w:lvl>
    <w:lvl w:ilvl="3" w:tplc="F1062898">
      <w:numFmt w:val="bullet"/>
      <w:lvlText w:val="•"/>
      <w:lvlJc w:val="left"/>
      <w:pPr>
        <w:ind w:left="3732" w:hanging="456"/>
      </w:pPr>
      <w:rPr>
        <w:rFonts w:hint="default"/>
      </w:rPr>
    </w:lvl>
    <w:lvl w:ilvl="4" w:tplc="9474D550">
      <w:numFmt w:val="bullet"/>
      <w:lvlText w:val="•"/>
      <w:lvlJc w:val="left"/>
      <w:pPr>
        <w:ind w:left="4756" w:hanging="456"/>
      </w:pPr>
      <w:rPr>
        <w:rFonts w:hint="default"/>
      </w:rPr>
    </w:lvl>
    <w:lvl w:ilvl="5" w:tplc="11B242BE">
      <w:numFmt w:val="bullet"/>
      <w:lvlText w:val="•"/>
      <w:lvlJc w:val="left"/>
      <w:pPr>
        <w:ind w:left="5780" w:hanging="456"/>
      </w:pPr>
      <w:rPr>
        <w:rFonts w:hint="default"/>
      </w:rPr>
    </w:lvl>
    <w:lvl w:ilvl="6" w:tplc="EFF4FB8E">
      <w:numFmt w:val="bullet"/>
      <w:lvlText w:val="•"/>
      <w:lvlJc w:val="left"/>
      <w:pPr>
        <w:ind w:left="6804" w:hanging="456"/>
      </w:pPr>
      <w:rPr>
        <w:rFonts w:hint="default"/>
      </w:rPr>
    </w:lvl>
    <w:lvl w:ilvl="7" w:tplc="FC62E390">
      <w:numFmt w:val="bullet"/>
      <w:lvlText w:val="•"/>
      <w:lvlJc w:val="left"/>
      <w:pPr>
        <w:ind w:left="7828" w:hanging="456"/>
      </w:pPr>
      <w:rPr>
        <w:rFonts w:hint="default"/>
      </w:rPr>
    </w:lvl>
    <w:lvl w:ilvl="8" w:tplc="9B70BBA8">
      <w:numFmt w:val="bullet"/>
      <w:lvlText w:val="•"/>
      <w:lvlJc w:val="left"/>
      <w:pPr>
        <w:ind w:left="8852" w:hanging="456"/>
      </w:pPr>
      <w:rPr>
        <w:rFonts w:hint="default"/>
      </w:rPr>
    </w:lvl>
  </w:abstractNum>
  <w:abstractNum w:abstractNumId="2" w15:restartNumberingAfterBreak="0">
    <w:nsid w:val="15063E3A"/>
    <w:multiLevelType w:val="hybridMultilevel"/>
    <w:tmpl w:val="842CEFD0"/>
    <w:lvl w:ilvl="0" w:tplc="A688361E">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5" w15:restartNumberingAfterBreak="0">
    <w:nsid w:val="3A2425FA"/>
    <w:multiLevelType w:val="hybridMultilevel"/>
    <w:tmpl w:val="33104DF6"/>
    <w:lvl w:ilvl="0" w:tplc="3468FB12">
      <w:numFmt w:val="bullet"/>
      <w:lvlText w:val="•"/>
      <w:lvlJc w:val="left"/>
      <w:pPr>
        <w:ind w:left="1180" w:hanging="360"/>
      </w:pPr>
      <w:rPr>
        <w:rFonts w:ascii="MS UI Gothic" w:eastAsia="MS UI Gothic" w:hAnsi="MS UI Gothic" w:cs="MS UI Gothic" w:hint="default"/>
        <w:w w:val="226"/>
        <w:sz w:val="24"/>
        <w:szCs w:val="24"/>
      </w:rPr>
    </w:lvl>
    <w:lvl w:ilvl="1" w:tplc="9E883EAC">
      <w:start w:val="1"/>
      <w:numFmt w:val="lowerLetter"/>
      <w:lvlText w:val="%2."/>
      <w:lvlJc w:val="left"/>
      <w:pPr>
        <w:ind w:left="1540" w:hanging="361"/>
      </w:pPr>
      <w:rPr>
        <w:rFonts w:ascii="Arial" w:eastAsia="Arial" w:hAnsi="Arial" w:cs="Arial" w:hint="default"/>
        <w:spacing w:val="-1"/>
        <w:w w:val="99"/>
        <w:sz w:val="24"/>
        <w:szCs w:val="24"/>
      </w:rPr>
    </w:lvl>
    <w:lvl w:ilvl="2" w:tplc="CE48405C">
      <w:numFmt w:val="bullet"/>
      <w:lvlText w:val="•"/>
      <w:lvlJc w:val="left"/>
      <w:pPr>
        <w:ind w:left="2580" w:hanging="361"/>
      </w:pPr>
      <w:rPr>
        <w:rFonts w:hint="default"/>
      </w:rPr>
    </w:lvl>
    <w:lvl w:ilvl="3" w:tplc="73DEB070">
      <w:numFmt w:val="bullet"/>
      <w:lvlText w:val="•"/>
      <w:lvlJc w:val="left"/>
      <w:pPr>
        <w:ind w:left="3620" w:hanging="361"/>
      </w:pPr>
      <w:rPr>
        <w:rFonts w:hint="default"/>
      </w:rPr>
    </w:lvl>
    <w:lvl w:ilvl="4" w:tplc="54C212F4">
      <w:numFmt w:val="bullet"/>
      <w:lvlText w:val="•"/>
      <w:lvlJc w:val="left"/>
      <w:pPr>
        <w:ind w:left="4660" w:hanging="361"/>
      </w:pPr>
      <w:rPr>
        <w:rFonts w:hint="default"/>
      </w:rPr>
    </w:lvl>
    <w:lvl w:ilvl="5" w:tplc="7452075E">
      <w:numFmt w:val="bullet"/>
      <w:lvlText w:val="•"/>
      <w:lvlJc w:val="left"/>
      <w:pPr>
        <w:ind w:left="5700" w:hanging="361"/>
      </w:pPr>
      <w:rPr>
        <w:rFonts w:hint="default"/>
      </w:rPr>
    </w:lvl>
    <w:lvl w:ilvl="6" w:tplc="DC6A6FE0">
      <w:numFmt w:val="bullet"/>
      <w:lvlText w:val="•"/>
      <w:lvlJc w:val="left"/>
      <w:pPr>
        <w:ind w:left="6740" w:hanging="361"/>
      </w:pPr>
      <w:rPr>
        <w:rFonts w:hint="default"/>
      </w:rPr>
    </w:lvl>
    <w:lvl w:ilvl="7" w:tplc="62BC3B74">
      <w:numFmt w:val="bullet"/>
      <w:lvlText w:val="•"/>
      <w:lvlJc w:val="left"/>
      <w:pPr>
        <w:ind w:left="7780" w:hanging="361"/>
      </w:pPr>
      <w:rPr>
        <w:rFonts w:hint="default"/>
      </w:rPr>
    </w:lvl>
    <w:lvl w:ilvl="8" w:tplc="3DFEA8C0">
      <w:numFmt w:val="bullet"/>
      <w:lvlText w:val="•"/>
      <w:lvlJc w:val="left"/>
      <w:pPr>
        <w:ind w:left="8820" w:hanging="361"/>
      </w:pPr>
      <w:rPr>
        <w:rFonts w:hint="default"/>
      </w:rPr>
    </w:lvl>
  </w:abstractNum>
  <w:abstractNum w:abstractNumId="6"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CA7179"/>
    <w:multiLevelType w:val="hybridMultilevel"/>
    <w:tmpl w:val="ED80C578"/>
    <w:lvl w:ilvl="0" w:tplc="2006E8FA">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6BB1422E"/>
    <w:multiLevelType w:val="hybridMultilevel"/>
    <w:tmpl w:val="1CAC653A"/>
    <w:lvl w:ilvl="0" w:tplc="0409000F">
      <w:start w:val="1"/>
      <w:numFmt w:val="decimal"/>
      <w:lvlText w:val="%1."/>
      <w:lvlJc w:val="left"/>
      <w:pPr>
        <w:ind w:left="720" w:hanging="360"/>
      </w:pPr>
      <w:rPr>
        <w:rFonts w:hint="default"/>
      </w:rPr>
    </w:lvl>
    <w:lvl w:ilvl="1" w:tplc="ACB88964">
      <w:start w:val="1"/>
      <w:numFmt w:val="bullet"/>
      <w:lvlText w:val=""/>
      <w:lvlPicBulletId w:val="0"/>
      <w:lvlJc w:val="left"/>
      <w:pPr>
        <w:ind w:left="1440" w:hanging="360"/>
      </w:pPr>
      <w:rPr>
        <w:rFonts w:ascii="Symbol" w:hAnsi="Symbol" w:hint="default"/>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0E161B"/>
    <w:multiLevelType w:val="hybridMultilevel"/>
    <w:tmpl w:val="8CCC19B4"/>
    <w:lvl w:ilvl="0" w:tplc="708647C8">
      <w:start w:val="1"/>
      <w:numFmt w:val="lowerLetter"/>
      <w:lvlText w:val="%1."/>
      <w:lvlJc w:val="left"/>
      <w:pPr>
        <w:ind w:left="1540" w:hanging="361"/>
      </w:pPr>
      <w:rPr>
        <w:rFonts w:ascii="Arial" w:eastAsia="Arial" w:hAnsi="Arial" w:cs="Arial" w:hint="default"/>
        <w:spacing w:val="-1"/>
        <w:w w:val="99"/>
        <w:sz w:val="24"/>
        <w:szCs w:val="24"/>
      </w:rPr>
    </w:lvl>
    <w:lvl w:ilvl="1" w:tplc="406AA470">
      <w:numFmt w:val="bullet"/>
      <w:lvlText w:val="•"/>
      <w:lvlJc w:val="left"/>
      <w:pPr>
        <w:ind w:left="2476" w:hanging="361"/>
      </w:pPr>
      <w:rPr>
        <w:rFonts w:hint="default"/>
      </w:rPr>
    </w:lvl>
    <w:lvl w:ilvl="2" w:tplc="064611D2">
      <w:numFmt w:val="bullet"/>
      <w:lvlText w:val="•"/>
      <w:lvlJc w:val="left"/>
      <w:pPr>
        <w:ind w:left="3412" w:hanging="361"/>
      </w:pPr>
      <w:rPr>
        <w:rFonts w:hint="default"/>
      </w:rPr>
    </w:lvl>
    <w:lvl w:ilvl="3" w:tplc="E41ECF26">
      <w:numFmt w:val="bullet"/>
      <w:lvlText w:val="•"/>
      <w:lvlJc w:val="left"/>
      <w:pPr>
        <w:ind w:left="4348" w:hanging="361"/>
      </w:pPr>
      <w:rPr>
        <w:rFonts w:hint="default"/>
      </w:rPr>
    </w:lvl>
    <w:lvl w:ilvl="4" w:tplc="76087FEA">
      <w:numFmt w:val="bullet"/>
      <w:lvlText w:val="•"/>
      <w:lvlJc w:val="left"/>
      <w:pPr>
        <w:ind w:left="5284" w:hanging="361"/>
      </w:pPr>
      <w:rPr>
        <w:rFonts w:hint="default"/>
      </w:rPr>
    </w:lvl>
    <w:lvl w:ilvl="5" w:tplc="9616678E">
      <w:numFmt w:val="bullet"/>
      <w:lvlText w:val="•"/>
      <w:lvlJc w:val="left"/>
      <w:pPr>
        <w:ind w:left="6220" w:hanging="361"/>
      </w:pPr>
      <w:rPr>
        <w:rFonts w:hint="default"/>
      </w:rPr>
    </w:lvl>
    <w:lvl w:ilvl="6" w:tplc="1B26F02E">
      <w:numFmt w:val="bullet"/>
      <w:lvlText w:val="•"/>
      <w:lvlJc w:val="left"/>
      <w:pPr>
        <w:ind w:left="7156" w:hanging="361"/>
      </w:pPr>
      <w:rPr>
        <w:rFonts w:hint="default"/>
      </w:rPr>
    </w:lvl>
    <w:lvl w:ilvl="7" w:tplc="DA50D750">
      <w:numFmt w:val="bullet"/>
      <w:lvlText w:val="•"/>
      <w:lvlJc w:val="left"/>
      <w:pPr>
        <w:ind w:left="8092" w:hanging="361"/>
      </w:pPr>
      <w:rPr>
        <w:rFonts w:hint="default"/>
      </w:rPr>
    </w:lvl>
    <w:lvl w:ilvl="8" w:tplc="BE6A9714">
      <w:numFmt w:val="bullet"/>
      <w:lvlText w:val="•"/>
      <w:lvlJc w:val="left"/>
      <w:pPr>
        <w:ind w:left="9028" w:hanging="361"/>
      </w:pPr>
      <w:rPr>
        <w:rFonts w:hint="default"/>
      </w:rPr>
    </w:lvl>
  </w:abstractNum>
  <w:abstractNum w:abstractNumId="14"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14"/>
  </w:num>
  <w:num w:numId="2">
    <w:abstractNumId w:val="4"/>
  </w:num>
  <w:num w:numId="3">
    <w:abstractNumId w:val="0"/>
  </w:num>
  <w:num w:numId="4">
    <w:abstractNumId w:val="6"/>
  </w:num>
  <w:num w:numId="5">
    <w:abstractNumId w:val="7"/>
  </w:num>
  <w:num w:numId="6">
    <w:abstractNumId w:val="2"/>
  </w:num>
  <w:num w:numId="7">
    <w:abstractNumId w:val="8"/>
  </w:num>
  <w:num w:numId="8">
    <w:abstractNumId w:val="3"/>
  </w:num>
  <w:num w:numId="9">
    <w:abstractNumId w:val="9"/>
  </w:num>
  <w:num w:numId="10">
    <w:abstractNumId w:val="10"/>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
  </w:num>
  <w:num w:numId="17">
    <w:abstractNumId w:val="5"/>
  </w:num>
  <w:num w:numId="1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NotTrackFormatting/>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OwNDYzMTYxNzADMpR0lIJTi4sz8/NACoxrAc+QwwcsAAAA"/>
  </w:docVars>
  <w:rsids>
    <w:rsidRoot w:val="003A738F"/>
    <w:rsid w:val="00000BC2"/>
    <w:rsid w:val="000022FA"/>
    <w:rsid w:val="00011DCF"/>
    <w:rsid w:val="000140E1"/>
    <w:rsid w:val="00016CEE"/>
    <w:rsid w:val="00017C94"/>
    <w:rsid w:val="000210E2"/>
    <w:rsid w:val="00021CA3"/>
    <w:rsid w:val="00022470"/>
    <w:rsid w:val="000227B6"/>
    <w:rsid w:val="000227FD"/>
    <w:rsid w:val="00024A1E"/>
    <w:rsid w:val="00027585"/>
    <w:rsid w:val="0003341F"/>
    <w:rsid w:val="00040AFA"/>
    <w:rsid w:val="000450B2"/>
    <w:rsid w:val="000474B5"/>
    <w:rsid w:val="00047F31"/>
    <w:rsid w:val="00055980"/>
    <w:rsid w:val="00055E11"/>
    <w:rsid w:val="000611AE"/>
    <w:rsid w:val="000644D2"/>
    <w:rsid w:val="000754A2"/>
    <w:rsid w:val="00087D65"/>
    <w:rsid w:val="00097B8C"/>
    <w:rsid w:val="000A4DA2"/>
    <w:rsid w:val="000B0A2E"/>
    <w:rsid w:val="000B418D"/>
    <w:rsid w:val="000B679A"/>
    <w:rsid w:val="000B788C"/>
    <w:rsid w:val="000C2173"/>
    <w:rsid w:val="000C3E7B"/>
    <w:rsid w:val="000D0F94"/>
    <w:rsid w:val="000D307B"/>
    <w:rsid w:val="000E007D"/>
    <w:rsid w:val="000E1590"/>
    <w:rsid w:val="000E1755"/>
    <w:rsid w:val="000F00E8"/>
    <w:rsid w:val="000F3A97"/>
    <w:rsid w:val="000F43C1"/>
    <w:rsid w:val="000F5739"/>
    <w:rsid w:val="000F71E9"/>
    <w:rsid w:val="000F73EE"/>
    <w:rsid w:val="001052E2"/>
    <w:rsid w:val="00105F77"/>
    <w:rsid w:val="00106031"/>
    <w:rsid w:val="00106285"/>
    <w:rsid w:val="00106420"/>
    <w:rsid w:val="0011292A"/>
    <w:rsid w:val="001155F7"/>
    <w:rsid w:val="00124737"/>
    <w:rsid w:val="0012656D"/>
    <w:rsid w:val="0012716A"/>
    <w:rsid w:val="0014168C"/>
    <w:rsid w:val="0014525E"/>
    <w:rsid w:val="00145B20"/>
    <w:rsid w:val="0014658A"/>
    <w:rsid w:val="00146C39"/>
    <w:rsid w:val="0015132A"/>
    <w:rsid w:val="0015144D"/>
    <w:rsid w:val="001517EC"/>
    <w:rsid w:val="00153303"/>
    <w:rsid w:val="00155CC3"/>
    <w:rsid w:val="0015735D"/>
    <w:rsid w:val="001678AE"/>
    <w:rsid w:val="0017380A"/>
    <w:rsid w:val="00173864"/>
    <w:rsid w:val="00174117"/>
    <w:rsid w:val="00176B07"/>
    <w:rsid w:val="00177986"/>
    <w:rsid w:val="00183086"/>
    <w:rsid w:val="00190295"/>
    <w:rsid w:val="00193BB2"/>
    <w:rsid w:val="00197318"/>
    <w:rsid w:val="001A0010"/>
    <w:rsid w:val="001A724C"/>
    <w:rsid w:val="001B5FC5"/>
    <w:rsid w:val="001B7262"/>
    <w:rsid w:val="001C0635"/>
    <w:rsid w:val="001C0D73"/>
    <w:rsid w:val="001C1EC8"/>
    <w:rsid w:val="001C62E5"/>
    <w:rsid w:val="001D1BFD"/>
    <w:rsid w:val="001D411C"/>
    <w:rsid w:val="001D5F7A"/>
    <w:rsid w:val="001D7F21"/>
    <w:rsid w:val="001E6C1F"/>
    <w:rsid w:val="001E7FAD"/>
    <w:rsid w:val="001F0FA7"/>
    <w:rsid w:val="001F106D"/>
    <w:rsid w:val="001F1E71"/>
    <w:rsid w:val="001F6718"/>
    <w:rsid w:val="001F6B02"/>
    <w:rsid w:val="00200915"/>
    <w:rsid w:val="002026D1"/>
    <w:rsid w:val="002060FB"/>
    <w:rsid w:val="00206F44"/>
    <w:rsid w:val="00210AEB"/>
    <w:rsid w:val="002115CA"/>
    <w:rsid w:val="002168CB"/>
    <w:rsid w:val="00236807"/>
    <w:rsid w:val="002428B2"/>
    <w:rsid w:val="00244349"/>
    <w:rsid w:val="0025052B"/>
    <w:rsid w:val="00250750"/>
    <w:rsid w:val="0025692D"/>
    <w:rsid w:val="002677E9"/>
    <w:rsid w:val="00270E1A"/>
    <w:rsid w:val="0027562C"/>
    <w:rsid w:val="00280A75"/>
    <w:rsid w:val="00282C53"/>
    <w:rsid w:val="002912AA"/>
    <w:rsid w:val="0029517E"/>
    <w:rsid w:val="0029538C"/>
    <w:rsid w:val="00296BEA"/>
    <w:rsid w:val="00297CDA"/>
    <w:rsid w:val="002B3441"/>
    <w:rsid w:val="002C2C78"/>
    <w:rsid w:val="002C600B"/>
    <w:rsid w:val="002D29B7"/>
    <w:rsid w:val="002D2C7A"/>
    <w:rsid w:val="002D5278"/>
    <w:rsid w:val="002D56D3"/>
    <w:rsid w:val="002D6CEE"/>
    <w:rsid w:val="002F6463"/>
    <w:rsid w:val="002F746E"/>
    <w:rsid w:val="0030063C"/>
    <w:rsid w:val="00303803"/>
    <w:rsid w:val="003153BF"/>
    <w:rsid w:val="00316CDD"/>
    <w:rsid w:val="003204BF"/>
    <w:rsid w:val="003211AF"/>
    <w:rsid w:val="003239A1"/>
    <w:rsid w:val="00323FF8"/>
    <w:rsid w:val="00340A13"/>
    <w:rsid w:val="00357D9D"/>
    <w:rsid w:val="00357F87"/>
    <w:rsid w:val="003608AE"/>
    <w:rsid w:val="003614FA"/>
    <w:rsid w:val="00363BC1"/>
    <w:rsid w:val="003758AE"/>
    <w:rsid w:val="00377CE0"/>
    <w:rsid w:val="00381DCE"/>
    <w:rsid w:val="00383594"/>
    <w:rsid w:val="00383DBA"/>
    <w:rsid w:val="003853F9"/>
    <w:rsid w:val="00386536"/>
    <w:rsid w:val="00390D5D"/>
    <w:rsid w:val="00392112"/>
    <w:rsid w:val="003932A6"/>
    <w:rsid w:val="0039649B"/>
    <w:rsid w:val="003A4C8D"/>
    <w:rsid w:val="003A738F"/>
    <w:rsid w:val="003B19FD"/>
    <w:rsid w:val="003B554B"/>
    <w:rsid w:val="003C427D"/>
    <w:rsid w:val="003D2BB4"/>
    <w:rsid w:val="003D4753"/>
    <w:rsid w:val="003E04B2"/>
    <w:rsid w:val="003E5C9C"/>
    <w:rsid w:val="003E66C2"/>
    <w:rsid w:val="003E710D"/>
    <w:rsid w:val="003F0F4B"/>
    <w:rsid w:val="003F53EE"/>
    <w:rsid w:val="003F5866"/>
    <w:rsid w:val="003F59D2"/>
    <w:rsid w:val="00400AFA"/>
    <w:rsid w:val="00405FFA"/>
    <w:rsid w:val="00410347"/>
    <w:rsid w:val="0042109E"/>
    <w:rsid w:val="0042323C"/>
    <w:rsid w:val="00424C86"/>
    <w:rsid w:val="00426ACF"/>
    <w:rsid w:val="00427D2E"/>
    <w:rsid w:val="004365B9"/>
    <w:rsid w:val="00440547"/>
    <w:rsid w:val="00441E4C"/>
    <w:rsid w:val="00442356"/>
    <w:rsid w:val="00444303"/>
    <w:rsid w:val="004504E9"/>
    <w:rsid w:val="0045454C"/>
    <w:rsid w:val="00456690"/>
    <w:rsid w:val="00471CF6"/>
    <w:rsid w:val="00471FF1"/>
    <w:rsid w:val="004742BF"/>
    <w:rsid w:val="00474F9B"/>
    <w:rsid w:val="00475B1E"/>
    <w:rsid w:val="0048342E"/>
    <w:rsid w:val="0049110C"/>
    <w:rsid w:val="00495909"/>
    <w:rsid w:val="004A0BC5"/>
    <w:rsid w:val="004A63C5"/>
    <w:rsid w:val="004A6A43"/>
    <w:rsid w:val="004B490F"/>
    <w:rsid w:val="004C156E"/>
    <w:rsid w:val="004C31BB"/>
    <w:rsid w:val="004C5703"/>
    <w:rsid w:val="004C611F"/>
    <w:rsid w:val="004D23D4"/>
    <w:rsid w:val="004D2FCC"/>
    <w:rsid w:val="004D4515"/>
    <w:rsid w:val="004D4F69"/>
    <w:rsid w:val="004D62AC"/>
    <w:rsid w:val="004E42C3"/>
    <w:rsid w:val="004E6BE2"/>
    <w:rsid w:val="004E7CB6"/>
    <w:rsid w:val="00504DE8"/>
    <w:rsid w:val="00513D74"/>
    <w:rsid w:val="005145C2"/>
    <w:rsid w:val="005146D7"/>
    <w:rsid w:val="005175A9"/>
    <w:rsid w:val="00520A17"/>
    <w:rsid w:val="005237DA"/>
    <w:rsid w:val="00530125"/>
    <w:rsid w:val="00532227"/>
    <w:rsid w:val="00533506"/>
    <w:rsid w:val="0053757A"/>
    <w:rsid w:val="00542A14"/>
    <w:rsid w:val="00543A8A"/>
    <w:rsid w:val="0055077F"/>
    <w:rsid w:val="00555CE0"/>
    <w:rsid w:val="00556FEB"/>
    <w:rsid w:val="005802D1"/>
    <w:rsid w:val="0058201C"/>
    <w:rsid w:val="005876D8"/>
    <w:rsid w:val="00590196"/>
    <w:rsid w:val="0059060D"/>
    <w:rsid w:val="00591C3F"/>
    <w:rsid w:val="00592838"/>
    <w:rsid w:val="00593E85"/>
    <w:rsid w:val="00596172"/>
    <w:rsid w:val="00597D8F"/>
    <w:rsid w:val="005A719C"/>
    <w:rsid w:val="005B48AF"/>
    <w:rsid w:val="005B5ED9"/>
    <w:rsid w:val="005C1CA2"/>
    <w:rsid w:val="005C52D8"/>
    <w:rsid w:val="005D2891"/>
    <w:rsid w:val="005D2F24"/>
    <w:rsid w:val="005D49FE"/>
    <w:rsid w:val="005D564B"/>
    <w:rsid w:val="005E0DB9"/>
    <w:rsid w:val="005E462E"/>
    <w:rsid w:val="005F0840"/>
    <w:rsid w:val="005F2AFC"/>
    <w:rsid w:val="005F48EC"/>
    <w:rsid w:val="0060625B"/>
    <w:rsid w:val="00621EDB"/>
    <w:rsid w:val="00622671"/>
    <w:rsid w:val="006237C5"/>
    <w:rsid w:val="00624844"/>
    <w:rsid w:val="0062750A"/>
    <w:rsid w:val="006316F3"/>
    <w:rsid w:val="00634B92"/>
    <w:rsid w:val="006353ED"/>
    <w:rsid w:val="00635E4A"/>
    <w:rsid w:val="00642463"/>
    <w:rsid w:val="00642BD4"/>
    <w:rsid w:val="006464F7"/>
    <w:rsid w:val="00646C60"/>
    <w:rsid w:val="006507B1"/>
    <w:rsid w:val="00651AAF"/>
    <w:rsid w:val="00655D29"/>
    <w:rsid w:val="00656F30"/>
    <w:rsid w:val="00660B02"/>
    <w:rsid w:val="00662C84"/>
    <w:rsid w:val="00663813"/>
    <w:rsid w:val="00666471"/>
    <w:rsid w:val="00682666"/>
    <w:rsid w:val="006857B5"/>
    <w:rsid w:val="00686520"/>
    <w:rsid w:val="0068751A"/>
    <w:rsid w:val="00697B31"/>
    <w:rsid w:val="006A0F19"/>
    <w:rsid w:val="006A188A"/>
    <w:rsid w:val="006A222E"/>
    <w:rsid w:val="006B71AC"/>
    <w:rsid w:val="006C0BAF"/>
    <w:rsid w:val="006C1EAE"/>
    <w:rsid w:val="006C222C"/>
    <w:rsid w:val="006C28ED"/>
    <w:rsid w:val="006C6355"/>
    <w:rsid w:val="006D1E42"/>
    <w:rsid w:val="006D3A65"/>
    <w:rsid w:val="006D3D1B"/>
    <w:rsid w:val="006D4606"/>
    <w:rsid w:val="006D6072"/>
    <w:rsid w:val="006F0294"/>
    <w:rsid w:val="006F3344"/>
    <w:rsid w:val="006F3518"/>
    <w:rsid w:val="006F3FEC"/>
    <w:rsid w:val="007016D5"/>
    <w:rsid w:val="00701E38"/>
    <w:rsid w:val="00705E8B"/>
    <w:rsid w:val="00706550"/>
    <w:rsid w:val="00712037"/>
    <w:rsid w:val="00714799"/>
    <w:rsid w:val="00714AB5"/>
    <w:rsid w:val="00714B3C"/>
    <w:rsid w:val="00727B11"/>
    <w:rsid w:val="00740EF6"/>
    <w:rsid w:val="00743128"/>
    <w:rsid w:val="00750212"/>
    <w:rsid w:val="00751EF5"/>
    <w:rsid w:val="00753120"/>
    <w:rsid w:val="00753588"/>
    <w:rsid w:val="00755D36"/>
    <w:rsid w:val="00761680"/>
    <w:rsid w:val="00761D77"/>
    <w:rsid w:val="00762CC5"/>
    <w:rsid w:val="0077051A"/>
    <w:rsid w:val="00776F98"/>
    <w:rsid w:val="0078039B"/>
    <w:rsid w:val="0078336B"/>
    <w:rsid w:val="0078580B"/>
    <w:rsid w:val="00785F0D"/>
    <w:rsid w:val="00793368"/>
    <w:rsid w:val="007A10F9"/>
    <w:rsid w:val="007A4214"/>
    <w:rsid w:val="007A666B"/>
    <w:rsid w:val="007B1675"/>
    <w:rsid w:val="007B2E70"/>
    <w:rsid w:val="007B52EA"/>
    <w:rsid w:val="007C0B88"/>
    <w:rsid w:val="007C1B36"/>
    <w:rsid w:val="007C315C"/>
    <w:rsid w:val="007C4805"/>
    <w:rsid w:val="007C663A"/>
    <w:rsid w:val="007D0CD7"/>
    <w:rsid w:val="007D0FB0"/>
    <w:rsid w:val="007D2971"/>
    <w:rsid w:val="007D6DD2"/>
    <w:rsid w:val="007E23D0"/>
    <w:rsid w:val="007E5C69"/>
    <w:rsid w:val="007E71DF"/>
    <w:rsid w:val="007F1A9C"/>
    <w:rsid w:val="007F2970"/>
    <w:rsid w:val="007F5056"/>
    <w:rsid w:val="007F6196"/>
    <w:rsid w:val="007F69B0"/>
    <w:rsid w:val="00801ACE"/>
    <w:rsid w:val="00804837"/>
    <w:rsid w:val="0080637C"/>
    <w:rsid w:val="00807BCD"/>
    <w:rsid w:val="00814FAE"/>
    <w:rsid w:val="00815ED0"/>
    <w:rsid w:val="00816123"/>
    <w:rsid w:val="00816AB5"/>
    <w:rsid w:val="008200FF"/>
    <w:rsid w:val="008208A0"/>
    <w:rsid w:val="00823AF8"/>
    <w:rsid w:val="00830B89"/>
    <w:rsid w:val="00833091"/>
    <w:rsid w:val="00835AF7"/>
    <w:rsid w:val="008415A9"/>
    <w:rsid w:val="008440C6"/>
    <w:rsid w:val="008451FD"/>
    <w:rsid w:val="00845D72"/>
    <w:rsid w:val="008521EA"/>
    <w:rsid w:val="0085548F"/>
    <w:rsid w:val="008610C6"/>
    <w:rsid w:val="00861D2A"/>
    <w:rsid w:val="008622B3"/>
    <w:rsid w:val="0086293A"/>
    <w:rsid w:val="00866230"/>
    <w:rsid w:val="00871278"/>
    <w:rsid w:val="00873F3C"/>
    <w:rsid w:val="00874F89"/>
    <w:rsid w:val="00876C9E"/>
    <w:rsid w:val="0087760D"/>
    <w:rsid w:val="0088147D"/>
    <w:rsid w:val="00885846"/>
    <w:rsid w:val="00885EF4"/>
    <w:rsid w:val="0089765B"/>
    <w:rsid w:val="008A2432"/>
    <w:rsid w:val="008A2E33"/>
    <w:rsid w:val="008A35DE"/>
    <w:rsid w:val="008B2ECF"/>
    <w:rsid w:val="008B2F07"/>
    <w:rsid w:val="008B3720"/>
    <w:rsid w:val="008B6FB6"/>
    <w:rsid w:val="008C5516"/>
    <w:rsid w:val="008D043D"/>
    <w:rsid w:val="008D311F"/>
    <w:rsid w:val="008D58E2"/>
    <w:rsid w:val="008E0F90"/>
    <w:rsid w:val="008E396B"/>
    <w:rsid w:val="008E69FA"/>
    <w:rsid w:val="008F32D3"/>
    <w:rsid w:val="008F359E"/>
    <w:rsid w:val="008F54C1"/>
    <w:rsid w:val="008F6A09"/>
    <w:rsid w:val="00903B37"/>
    <w:rsid w:val="00904BD5"/>
    <w:rsid w:val="00907530"/>
    <w:rsid w:val="00915BC3"/>
    <w:rsid w:val="00915CF1"/>
    <w:rsid w:val="00921EFB"/>
    <w:rsid w:val="009244D0"/>
    <w:rsid w:val="0092531E"/>
    <w:rsid w:val="0093247C"/>
    <w:rsid w:val="00933E95"/>
    <w:rsid w:val="00942EAF"/>
    <w:rsid w:val="00944308"/>
    <w:rsid w:val="00944B13"/>
    <w:rsid w:val="00944E74"/>
    <w:rsid w:val="00945AF9"/>
    <w:rsid w:val="009469AB"/>
    <w:rsid w:val="00947451"/>
    <w:rsid w:val="00947F1F"/>
    <w:rsid w:val="00950AD4"/>
    <w:rsid w:val="00952091"/>
    <w:rsid w:val="00954120"/>
    <w:rsid w:val="00954BC5"/>
    <w:rsid w:val="00967A5E"/>
    <w:rsid w:val="0097211E"/>
    <w:rsid w:val="00976ADA"/>
    <w:rsid w:val="00992EDB"/>
    <w:rsid w:val="00995A81"/>
    <w:rsid w:val="009971AE"/>
    <w:rsid w:val="009A27CF"/>
    <w:rsid w:val="009A6A81"/>
    <w:rsid w:val="009B10BB"/>
    <w:rsid w:val="009B13D2"/>
    <w:rsid w:val="009B6EB8"/>
    <w:rsid w:val="009C0625"/>
    <w:rsid w:val="009C16EE"/>
    <w:rsid w:val="009C2ED3"/>
    <w:rsid w:val="009C2F69"/>
    <w:rsid w:val="009D11A6"/>
    <w:rsid w:val="009D54F1"/>
    <w:rsid w:val="009E2AC5"/>
    <w:rsid w:val="009F50FC"/>
    <w:rsid w:val="00A00591"/>
    <w:rsid w:val="00A00E51"/>
    <w:rsid w:val="00A013A6"/>
    <w:rsid w:val="00A02673"/>
    <w:rsid w:val="00A03BCE"/>
    <w:rsid w:val="00A10999"/>
    <w:rsid w:val="00A13D07"/>
    <w:rsid w:val="00A145B9"/>
    <w:rsid w:val="00A214B1"/>
    <w:rsid w:val="00A24AB9"/>
    <w:rsid w:val="00A25C50"/>
    <w:rsid w:val="00A30B97"/>
    <w:rsid w:val="00A33F8A"/>
    <w:rsid w:val="00A34524"/>
    <w:rsid w:val="00A40E85"/>
    <w:rsid w:val="00A43AC8"/>
    <w:rsid w:val="00A4446E"/>
    <w:rsid w:val="00A51ECE"/>
    <w:rsid w:val="00A51FDB"/>
    <w:rsid w:val="00A53137"/>
    <w:rsid w:val="00A61654"/>
    <w:rsid w:val="00A63AD7"/>
    <w:rsid w:val="00A67ECC"/>
    <w:rsid w:val="00A70911"/>
    <w:rsid w:val="00A70FF9"/>
    <w:rsid w:val="00A7220C"/>
    <w:rsid w:val="00A81613"/>
    <w:rsid w:val="00A84FC3"/>
    <w:rsid w:val="00A8523E"/>
    <w:rsid w:val="00A85917"/>
    <w:rsid w:val="00A87F68"/>
    <w:rsid w:val="00A9138E"/>
    <w:rsid w:val="00AB0419"/>
    <w:rsid w:val="00AB2B1E"/>
    <w:rsid w:val="00AB5560"/>
    <w:rsid w:val="00AC0EEF"/>
    <w:rsid w:val="00AC2058"/>
    <w:rsid w:val="00AC2204"/>
    <w:rsid w:val="00AC2E20"/>
    <w:rsid w:val="00AC4A25"/>
    <w:rsid w:val="00AC5173"/>
    <w:rsid w:val="00AD1419"/>
    <w:rsid w:val="00AD466A"/>
    <w:rsid w:val="00AD49B0"/>
    <w:rsid w:val="00AD7217"/>
    <w:rsid w:val="00AE0C76"/>
    <w:rsid w:val="00AE43CE"/>
    <w:rsid w:val="00AF38EB"/>
    <w:rsid w:val="00AF5F80"/>
    <w:rsid w:val="00AF67B8"/>
    <w:rsid w:val="00B025DA"/>
    <w:rsid w:val="00B05C2C"/>
    <w:rsid w:val="00B12E03"/>
    <w:rsid w:val="00B23600"/>
    <w:rsid w:val="00B27FCE"/>
    <w:rsid w:val="00B30074"/>
    <w:rsid w:val="00B30735"/>
    <w:rsid w:val="00B31C44"/>
    <w:rsid w:val="00B331EE"/>
    <w:rsid w:val="00B521EB"/>
    <w:rsid w:val="00B53E6D"/>
    <w:rsid w:val="00B54EF0"/>
    <w:rsid w:val="00B60229"/>
    <w:rsid w:val="00B6553C"/>
    <w:rsid w:val="00B65BEA"/>
    <w:rsid w:val="00B66B4F"/>
    <w:rsid w:val="00B70D6F"/>
    <w:rsid w:val="00B70E76"/>
    <w:rsid w:val="00B738D2"/>
    <w:rsid w:val="00B846B3"/>
    <w:rsid w:val="00B90702"/>
    <w:rsid w:val="00B91D49"/>
    <w:rsid w:val="00B94B71"/>
    <w:rsid w:val="00B97CBB"/>
    <w:rsid w:val="00BA09BB"/>
    <w:rsid w:val="00BA2EEC"/>
    <w:rsid w:val="00BB05A3"/>
    <w:rsid w:val="00BC3275"/>
    <w:rsid w:val="00BC53CB"/>
    <w:rsid w:val="00BE0AA4"/>
    <w:rsid w:val="00BF1F28"/>
    <w:rsid w:val="00BF7020"/>
    <w:rsid w:val="00C016FE"/>
    <w:rsid w:val="00C069B9"/>
    <w:rsid w:val="00C07B69"/>
    <w:rsid w:val="00C10BBD"/>
    <w:rsid w:val="00C11F55"/>
    <w:rsid w:val="00C1441F"/>
    <w:rsid w:val="00C20DEF"/>
    <w:rsid w:val="00C23722"/>
    <w:rsid w:val="00C26240"/>
    <w:rsid w:val="00C26AEA"/>
    <w:rsid w:val="00C3189E"/>
    <w:rsid w:val="00C331A6"/>
    <w:rsid w:val="00C41559"/>
    <w:rsid w:val="00C419C5"/>
    <w:rsid w:val="00C44E5F"/>
    <w:rsid w:val="00C45248"/>
    <w:rsid w:val="00C45C9C"/>
    <w:rsid w:val="00C54764"/>
    <w:rsid w:val="00C54B73"/>
    <w:rsid w:val="00C558E8"/>
    <w:rsid w:val="00C61AF6"/>
    <w:rsid w:val="00C620DF"/>
    <w:rsid w:val="00C628C2"/>
    <w:rsid w:val="00C64E38"/>
    <w:rsid w:val="00C659FF"/>
    <w:rsid w:val="00C7346A"/>
    <w:rsid w:val="00C810E6"/>
    <w:rsid w:val="00C84F5B"/>
    <w:rsid w:val="00C87A4D"/>
    <w:rsid w:val="00C933AB"/>
    <w:rsid w:val="00CA21CC"/>
    <w:rsid w:val="00CA2D90"/>
    <w:rsid w:val="00CA40D4"/>
    <w:rsid w:val="00CA5E6C"/>
    <w:rsid w:val="00CB4B44"/>
    <w:rsid w:val="00CB4C32"/>
    <w:rsid w:val="00CB717B"/>
    <w:rsid w:val="00CC2AB1"/>
    <w:rsid w:val="00CC65FB"/>
    <w:rsid w:val="00CD6E76"/>
    <w:rsid w:val="00CD7B75"/>
    <w:rsid w:val="00CE41CD"/>
    <w:rsid w:val="00CE5315"/>
    <w:rsid w:val="00CE65E2"/>
    <w:rsid w:val="00CE6776"/>
    <w:rsid w:val="00CF4AB8"/>
    <w:rsid w:val="00D004B3"/>
    <w:rsid w:val="00D042E0"/>
    <w:rsid w:val="00D07B08"/>
    <w:rsid w:val="00D12831"/>
    <w:rsid w:val="00D1329F"/>
    <w:rsid w:val="00D139B8"/>
    <w:rsid w:val="00D14772"/>
    <w:rsid w:val="00D14B01"/>
    <w:rsid w:val="00D1531A"/>
    <w:rsid w:val="00D156A4"/>
    <w:rsid w:val="00D27093"/>
    <w:rsid w:val="00D30301"/>
    <w:rsid w:val="00D30A75"/>
    <w:rsid w:val="00D3138D"/>
    <w:rsid w:val="00D34EC1"/>
    <w:rsid w:val="00D37665"/>
    <w:rsid w:val="00D436A8"/>
    <w:rsid w:val="00D479EA"/>
    <w:rsid w:val="00D50ECE"/>
    <w:rsid w:val="00D52894"/>
    <w:rsid w:val="00D56659"/>
    <w:rsid w:val="00D63BD5"/>
    <w:rsid w:val="00D71166"/>
    <w:rsid w:val="00D72D53"/>
    <w:rsid w:val="00D80271"/>
    <w:rsid w:val="00D91394"/>
    <w:rsid w:val="00D91A4C"/>
    <w:rsid w:val="00D922D3"/>
    <w:rsid w:val="00D9256C"/>
    <w:rsid w:val="00D972F4"/>
    <w:rsid w:val="00DA1F3D"/>
    <w:rsid w:val="00DA6145"/>
    <w:rsid w:val="00DA6A0E"/>
    <w:rsid w:val="00DA7152"/>
    <w:rsid w:val="00DB1B8A"/>
    <w:rsid w:val="00DB58B4"/>
    <w:rsid w:val="00DB78B0"/>
    <w:rsid w:val="00DC1A9B"/>
    <w:rsid w:val="00DC2015"/>
    <w:rsid w:val="00DC22A5"/>
    <w:rsid w:val="00DC533F"/>
    <w:rsid w:val="00DE2F87"/>
    <w:rsid w:val="00DE383C"/>
    <w:rsid w:val="00DF1081"/>
    <w:rsid w:val="00DF3C2B"/>
    <w:rsid w:val="00E12A83"/>
    <w:rsid w:val="00E16315"/>
    <w:rsid w:val="00E1771D"/>
    <w:rsid w:val="00E252B9"/>
    <w:rsid w:val="00E3172D"/>
    <w:rsid w:val="00E329B6"/>
    <w:rsid w:val="00E32EF9"/>
    <w:rsid w:val="00E3525C"/>
    <w:rsid w:val="00E41D18"/>
    <w:rsid w:val="00E41DD2"/>
    <w:rsid w:val="00E430B1"/>
    <w:rsid w:val="00E56BA3"/>
    <w:rsid w:val="00E6309D"/>
    <w:rsid w:val="00E6628F"/>
    <w:rsid w:val="00E70AB7"/>
    <w:rsid w:val="00E72702"/>
    <w:rsid w:val="00E72A5D"/>
    <w:rsid w:val="00E77DE5"/>
    <w:rsid w:val="00E83A2E"/>
    <w:rsid w:val="00E8560B"/>
    <w:rsid w:val="00E85C2C"/>
    <w:rsid w:val="00E91373"/>
    <w:rsid w:val="00E921D9"/>
    <w:rsid w:val="00E97485"/>
    <w:rsid w:val="00EA3C65"/>
    <w:rsid w:val="00EA7723"/>
    <w:rsid w:val="00EA7F59"/>
    <w:rsid w:val="00EC2FAA"/>
    <w:rsid w:val="00EC3D53"/>
    <w:rsid w:val="00ED56CB"/>
    <w:rsid w:val="00EE2CBE"/>
    <w:rsid w:val="00EE48CF"/>
    <w:rsid w:val="00EF0A66"/>
    <w:rsid w:val="00EF3848"/>
    <w:rsid w:val="00F0128C"/>
    <w:rsid w:val="00F05865"/>
    <w:rsid w:val="00F128C2"/>
    <w:rsid w:val="00F15BF8"/>
    <w:rsid w:val="00F16F25"/>
    <w:rsid w:val="00F2001F"/>
    <w:rsid w:val="00F23B03"/>
    <w:rsid w:val="00F2557E"/>
    <w:rsid w:val="00F348E9"/>
    <w:rsid w:val="00F4098C"/>
    <w:rsid w:val="00F43E68"/>
    <w:rsid w:val="00F44A6F"/>
    <w:rsid w:val="00F519F3"/>
    <w:rsid w:val="00F55E81"/>
    <w:rsid w:val="00F60FCE"/>
    <w:rsid w:val="00F61095"/>
    <w:rsid w:val="00F62BD5"/>
    <w:rsid w:val="00F6342F"/>
    <w:rsid w:val="00F64456"/>
    <w:rsid w:val="00F70A1B"/>
    <w:rsid w:val="00F73122"/>
    <w:rsid w:val="00F73BEA"/>
    <w:rsid w:val="00F74297"/>
    <w:rsid w:val="00F80B4B"/>
    <w:rsid w:val="00F81C45"/>
    <w:rsid w:val="00F83E59"/>
    <w:rsid w:val="00F85E04"/>
    <w:rsid w:val="00F92432"/>
    <w:rsid w:val="00F94EB1"/>
    <w:rsid w:val="00F96D7D"/>
    <w:rsid w:val="00FA08B1"/>
    <w:rsid w:val="00FA1200"/>
    <w:rsid w:val="00FA1378"/>
    <w:rsid w:val="00FA1A6E"/>
    <w:rsid w:val="00FA4491"/>
    <w:rsid w:val="00FA659C"/>
    <w:rsid w:val="00FA7454"/>
    <w:rsid w:val="00FB4A0D"/>
    <w:rsid w:val="00FB4D5C"/>
    <w:rsid w:val="00FB5805"/>
    <w:rsid w:val="00FB60E1"/>
    <w:rsid w:val="00FB702F"/>
    <w:rsid w:val="00FC15C7"/>
    <w:rsid w:val="00FC5364"/>
    <w:rsid w:val="00FD1B9E"/>
    <w:rsid w:val="00FD29F8"/>
    <w:rsid w:val="00FD2C4C"/>
    <w:rsid w:val="00FD3F6D"/>
    <w:rsid w:val="00FD6E00"/>
    <w:rsid w:val="00FD77A7"/>
    <w:rsid w:val="00FD77CD"/>
    <w:rsid w:val="00FE305C"/>
    <w:rsid w:val="00FE68E5"/>
    <w:rsid w:val="00FF0245"/>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A6418"/>
  <w15:chartTrackingRefBased/>
  <w15:docId w15:val="{D1669A09-1EB2-472C-BC0A-23B95B295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0FC"/>
    <w:pPr>
      <w:spacing w:after="200"/>
      <w:ind w:firstLine="0"/>
    </w:pPr>
    <w:rPr>
      <w:rFonts w:ascii="Arial" w:eastAsiaTheme="majorEastAsia" w:hAnsi="Arial" w:cs="Arial"/>
      <w:color w:val="000000" w:themeColor="text1"/>
    </w:rPr>
  </w:style>
  <w:style w:type="paragraph" w:styleId="Heading1">
    <w:name w:val="heading 1"/>
    <w:next w:val="Heading2"/>
    <w:link w:val="Heading1Char"/>
    <w:uiPriority w:val="1"/>
    <w:qFormat/>
    <w:rsid w:val="00513D74"/>
    <w:pPr>
      <w:keepNext/>
      <w:spacing w:after="200"/>
      <w:ind w:firstLine="0"/>
      <w:jc w:val="center"/>
      <w:outlineLvl w:val="0"/>
    </w:pPr>
    <w:rPr>
      <w:rFonts w:ascii="Arial" w:eastAsiaTheme="majorEastAsia" w:hAnsi="Arial" w:cs="Arial"/>
      <w:b/>
      <w:color w:val="000000" w:themeColor="text1"/>
    </w:rPr>
  </w:style>
  <w:style w:type="paragraph" w:styleId="Heading2">
    <w:name w:val="heading 2"/>
    <w:link w:val="Heading2Char"/>
    <w:uiPriority w:val="1"/>
    <w:unhideWhenUsed/>
    <w:qFormat/>
    <w:rsid w:val="00513D74"/>
    <w:pPr>
      <w:keepNext/>
      <w:tabs>
        <w:tab w:val="left" w:pos="720"/>
      </w:tabs>
      <w:spacing w:after="200"/>
      <w:ind w:left="720" w:hanging="720"/>
      <w:outlineLvl w:val="1"/>
    </w:pPr>
    <w:rPr>
      <w:rFonts w:ascii="Arial" w:eastAsiaTheme="majorEastAsia" w:hAnsi="Arial" w:cs="Arial"/>
      <w:b/>
      <w:color w:val="000000" w:themeColor="text1"/>
    </w:rPr>
  </w:style>
  <w:style w:type="paragraph" w:styleId="Heading3">
    <w:name w:val="heading 3"/>
    <w:link w:val="Heading3Char"/>
    <w:uiPriority w:val="9"/>
    <w:unhideWhenUsed/>
    <w:qFormat/>
    <w:rsid w:val="00513D74"/>
    <w:pPr>
      <w:keepNext/>
      <w:tabs>
        <w:tab w:val="left" w:pos="720"/>
      </w:tabs>
      <w:spacing w:after="200"/>
      <w:ind w:left="720" w:hanging="720"/>
      <w:outlineLvl w:val="2"/>
    </w:pPr>
    <w:rPr>
      <w:rFonts w:ascii="Arial" w:eastAsiaTheme="majorEastAsia" w:hAnsi="Arial" w:cs="Arial"/>
      <w:b/>
      <w:i/>
    </w:rPr>
  </w:style>
  <w:style w:type="paragraph" w:styleId="Heading4">
    <w:name w:val="heading 4"/>
    <w:basedOn w:val="Heading3"/>
    <w:link w:val="Heading4Char"/>
    <w:uiPriority w:val="9"/>
    <w:unhideWhenUsed/>
    <w:rsid w:val="00513D74"/>
    <w:pPr>
      <w:outlineLvl w:val="3"/>
    </w:pPr>
  </w:style>
  <w:style w:type="paragraph" w:styleId="Heading5">
    <w:name w:val="heading 5"/>
    <w:basedOn w:val="Heading4"/>
    <w:next w:val="Heading4"/>
    <w:link w:val="Heading5Char"/>
    <w:uiPriority w:val="9"/>
    <w:unhideWhenUsed/>
    <w:rsid w:val="00513D74"/>
    <w:pPr>
      <w:outlineLvl w:val="4"/>
    </w:pPr>
  </w:style>
  <w:style w:type="paragraph" w:styleId="Heading6">
    <w:name w:val="heading 6"/>
    <w:basedOn w:val="Heading5"/>
    <w:link w:val="Heading6Char"/>
    <w:uiPriority w:val="9"/>
    <w:unhideWhenUsed/>
    <w:rsid w:val="00513D74"/>
    <w:pPr>
      <w:outlineLvl w:val="5"/>
    </w:pPr>
  </w:style>
  <w:style w:type="paragraph" w:styleId="Heading7">
    <w:name w:val="heading 7"/>
    <w:basedOn w:val="Heading6"/>
    <w:link w:val="Heading7Char"/>
    <w:uiPriority w:val="9"/>
    <w:unhideWhenUsed/>
    <w:rsid w:val="00513D74"/>
    <w:pPr>
      <w:outlineLvl w:val="6"/>
    </w:pPr>
  </w:style>
  <w:style w:type="paragraph" w:styleId="Heading8">
    <w:name w:val="heading 8"/>
    <w:basedOn w:val="Heading7"/>
    <w:link w:val="Heading8Char"/>
    <w:uiPriority w:val="9"/>
    <w:unhideWhenUsed/>
    <w:rsid w:val="00513D74"/>
    <w:pPr>
      <w:outlineLvl w:val="7"/>
    </w:pPr>
  </w:style>
  <w:style w:type="paragraph" w:styleId="Heading9">
    <w:name w:val="heading 9"/>
    <w:basedOn w:val="Heading8"/>
    <w:link w:val="Heading9Char"/>
    <w:uiPriority w:val="9"/>
    <w:unhideWhenUsed/>
    <w:rsid w:val="00513D7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1"/>
    <w:rsid w:val="00513D74"/>
    <w:rPr>
      <w:rFonts w:ascii="Arial" w:eastAsiaTheme="majorEastAsia" w:hAnsi="Arial" w:cs="Arial"/>
      <w:b/>
      <w:color w:val="000000" w:themeColor="text1"/>
    </w:rPr>
  </w:style>
  <w:style w:type="character" w:customStyle="1" w:styleId="Heading2Char">
    <w:name w:val="Heading 2 Char"/>
    <w:basedOn w:val="DefaultParagraphFont"/>
    <w:link w:val="Heading2"/>
    <w:uiPriority w:val="1"/>
    <w:rsid w:val="00513D74"/>
    <w:rPr>
      <w:rFonts w:ascii="Arial" w:eastAsiaTheme="majorEastAsia" w:hAnsi="Arial" w:cs="Arial"/>
      <w:b/>
      <w:color w:val="000000" w:themeColor="text1"/>
    </w:rPr>
  </w:style>
  <w:style w:type="character" w:customStyle="1" w:styleId="Heading4Char">
    <w:name w:val="Heading 4 Char"/>
    <w:basedOn w:val="DefaultParagraphFont"/>
    <w:link w:val="Heading4"/>
    <w:uiPriority w:val="9"/>
    <w:rsid w:val="00513D74"/>
    <w:rPr>
      <w:rFonts w:ascii="Arial" w:eastAsiaTheme="majorEastAsia" w:hAnsi="Arial" w:cs="Arial"/>
      <w:b/>
      <w:i/>
    </w:rPr>
  </w:style>
  <w:style w:type="character" w:customStyle="1" w:styleId="Heading3Char">
    <w:name w:val="Heading 3 Char"/>
    <w:basedOn w:val="DefaultParagraphFont"/>
    <w:link w:val="Heading3"/>
    <w:uiPriority w:val="9"/>
    <w:rsid w:val="00513D74"/>
    <w:rPr>
      <w:rFonts w:ascii="Arial" w:eastAsiaTheme="majorEastAsia" w:hAnsi="Arial" w:cs="Arial"/>
      <w:b/>
      <w:i/>
    </w:rPr>
  </w:style>
  <w:style w:type="character" w:customStyle="1" w:styleId="Heading5Char">
    <w:name w:val="Heading 5 Char"/>
    <w:basedOn w:val="DefaultParagraphFont"/>
    <w:link w:val="Heading5"/>
    <w:uiPriority w:val="9"/>
    <w:rsid w:val="00513D74"/>
    <w:rPr>
      <w:rFonts w:ascii="Arial" w:eastAsiaTheme="majorEastAsia" w:hAnsi="Arial" w:cs="Arial"/>
      <w:b/>
      <w:i/>
    </w:rPr>
  </w:style>
  <w:style w:type="character" w:customStyle="1" w:styleId="Heading7Char">
    <w:name w:val="Heading 7 Char"/>
    <w:basedOn w:val="DefaultParagraphFont"/>
    <w:link w:val="Heading7"/>
    <w:uiPriority w:val="9"/>
    <w:rsid w:val="00513D74"/>
    <w:rPr>
      <w:rFonts w:ascii="Arial" w:eastAsiaTheme="majorEastAsia" w:hAnsi="Arial" w:cs="Arial"/>
      <w:b/>
      <w:i/>
    </w:rPr>
  </w:style>
  <w:style w:type="character" w:customStyle="1" w:styleId="Heading6Char">
    <w:name w:val="Heading 6 Char"/>
    <w:basedOn w:val="DefaultParagraphFont"/>
    <w:link w:val="Heading6"/>
    <w:uiPriority w:val="9"/>
    <w:rsid w:val="00513D74"/>
    <w:rPr>
      <w:rFonts w:ascii="Arial" w:eastAsiaTheme="majorEastAsia" w:hAnsi="Arial" w:cs="Arial"/>
      <w:b/>
      <w:i/>
    </w:rPr>
  </w:style>
  <w:style w:type="character" w:customStyle="1" w:styleId="Heading8Char">
    <w:name w:val="Heading 8 Char"/>
    <w:basedOn w:val="DefaultParagraphFont"/>
    <w:link w:val="Heading8"/>
    <w:uiPriority w:val="9"/>
    <w:rsid w:val="00513D74"/>
    <w:rPr>
      <w:rFonts w:ascii="Arial" w:eastAsiaTheme="majorEastAsia" w:hAnsi="Arial" w:cs="Arial"/>
      <w:b/>
      <w:i/>
    </w:rPr>
  </w:style>
  <w:style w:type="character" w:customStyle="1" w:styleId="Heading9Char">
    <w:name w:val="Heading 9 Char"/>
    <w:basedOn w:val="DefaultParagraphFont"/>
    <w:link w:val="Heading9"/>
    <w:uiPriority w:val="9"/>
    <w:rsid w:val="00513D74"/>
    <w:rPr>
      <w:rFonts w:ascii="Arial" w:eastAsiaTheme="majorEastAsia" w:hAnsi="Arial" w:cs="Arial"/>
      <w:b/>
      <w:i/>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paragraph" w:customStyle="1" w:styleId="Subbody">
    <w:name w:val="Sub body"/>
    <w:link w:val="SubbodyChar"/>
    <w:qFormat/>
    <w:rsid w:val="008521EA"/>
    <w:pPr>
      <w:numPr>
        <w:ilvl w:val="3"/>
      </w:numPr>
      <w:ind w:firstLine="720"/>
    </w:pPr>
    <w:rPr>
      <w:rFonts w:ascii="Arial" w:eastAsiaTheme="majorEastAsia" w:hAnsi="Arial" w:cs="Arial"/>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color w:val="000000" w:themeColor="text1"/>
    </w:rPr>
  </w:style>
  <w:style w:type="paragraph" w:styleId="ListParagraph">
    <w:name w:val="List Paragraph"/>
    <w:basedOn w:val="Normal"/>
    <w:link w:val="ListParagraphChar"/>
    <w:uiPriority w:val="1"/>
    <w:qFormat/>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val="0"/>
    </w:rPr>
  </w:style>
  <w:style w:type="paragraph" w:customStyle="1" w:styleId="Level1">
    <w:name w:val="Level 1"/>
    <w:link w:val="Level1Char"/>
    <w:qFormat/>
    <w:rsid w:val="00E72A5D"/>
    <w:pPr>
      <w:numPr>
        <w:ilvl w:val="3"/>
        <w:numId w:val="3"/>
      </w:numPr>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uiPriority w:val="99"/>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b/>
      <w:i/>
      <w:iCs/>
    </w:rPr>
  </w:style>
  <w:style w:type="character" w:customStyle="1" w:styleId="Level4Char">
    <w:name w:val="Level 4 Char"/>
    <w:basedOn w:val="Heading6Char"/>
    <w:link w:val="Level4"/>
    <w:rsid w:val="008521EA"/>
    <w:rPr>
      <w:rFonts w:ascii="Arial" w:eastAsiaTheme="majorEastAsia" w:hAnsi="Arial" w:cstheme="majorBidi"/>
      <w:b/>
      <w:i/>
      <w:iCs/>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b/>
      <w:i/>
      <w:iCs/>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paragraph" w:customStyle="1" w:styleId="BodyQuote">
    <w:name w:val="Body Quote"/>
    <w:link w:val="BodyQuoteChar"/>
    <w:qFormat/>
    <w:rsid w:val="00E72A5D"/>
    <w:pPr>
      <w:spacing w:after="200"/>
      <w:ind w:left="720" w:right="720" w:firstLine="0"/>
    </w:pPr>
    <w:rPr>
      <w:rFonts w:ascii="Arial" w:eastAsiaTheme="majorEastAsia" w:hAnsi="Arial"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b/>
      <w:i/>
      <w:iCs/>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ascii="Arial" w:eastAsiaTheme="majorEastAsia" w:hAnsi="Arial"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b/>
      <w:i/>
      <w:iCs/>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b/>
      <w:i/>
      <w:iCs/>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 w:type="paragraph" w:styleId="BodyText">
    <w:name w:val="Body Text"/>
    <w:basedOn w:val="Normal"/>
    <w:link w:val="BodyTextChar"/>
    <w:uiPriority w:val="1"/>
    <w:qFormat/>
    <w:rsid w:val="003A738F"/>
    <w:pPr>
      <w:widowControl w:val="0"/>
      <w:autoSpaceDE w:val="0"/>
      <w:autoSpaceDN w:val="0"/>
      <w:spacing w:after="0"/>
      <w:jc w:val="left"/>
    </w:pPr>
    <w:rPr>
      <w:rFonts w:eastAsia="Arial"/>
      <w:color w:val="auto"/>
      <w:kern w:val="0"/>
    </w:rPr>
  </w:style>
  <w:style w:type="character" w:customStyle="1" w:styleId="BodyTextChar">
    <w:name w:val="Body Text Char"/>
    <w:basedOn w:val="DefaultParagraphFont"/>
    <w:link w:val="BodyText"/>
    <w:uiPriority w:val="1"/>
    <w:rsid w:val="003A738F"/>
    <w:rPr>
      <w:rFonts w:ascii="Arial" w:eastAsia="Arial" w:hAnsi="Arial" w:cs="Arial"/>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V:\Word\Templates\Thrun%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BFA35-BCA3-4AA2-9EF9-8E60F917B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Thrun Policy Template.dotx</Template>
  <TotalTime>27</TotalTime>
  <Pages>4</Pages>
  <Words>1024</Words>
  <Characters>5837</Characters>
  <Application>Microsoft Office Word</Application>
  <DocSecurity>0</DocSecurity>
  <PresentationFormat>15|.DOCX</PresentationFormat>
  <Lines>48</Lines>
  <Paragraphs>13</Paragraphs>
  <ScaleCrop>false</ScaleCrop>
  <HeadingPairs>
    <vt:vector size="2" baseType="variant">
      <vt:variant>
        <vt:lpstr>Title</vt:lpstr>
      </vt:variant>
      <vt:variant>
        <vt:i4>1</vt:i4>
      </vt:variant>
    </vt:vector>
  </HeadingPairs>
  <TitlesOfParts>
    <vt:vector size="1" baseType="lpstr">
      <vt:lpstr>4101 Non-Discrimination (KWB updates 5-6-22) (01865303).DOCX</vt:lpstr>
    </vt:vector>
  </TitlesOfParts>
  <Company>Thrun Law Firm</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4101 Non-Discrimination (KWB updates 5-6-22) (01865303).DOCX</dc:title>
  <dc:subject/>
  <dc:creator>Rachel E. Hewitt</dc:creator>
  <cp:keywords/>
  <dc:description/>
  <cp:lastModifiedBy>MICHELLE MUNYON</cp:lastModifiedBy>
  <cp:revision>10</cp:revision>
  <cp:lastPrinted>2022-05-18T15:56:00Z</cp:lastPrinted>
  <dcterms:created xsi:type="dcterms:W3CDTF">2023-06-09T18:37:00Z</dcterms:created>
  <dcterms:modified xsi:type="dcterms:W3CDTF">2025-09-23T15:49:00Z</dcterms:modified>
</cp:coreProperties>
</file>