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6288" w14:textId="77777777" w:rsidR="00EC0CD6" w:rsidRPr="000D3F54" w:rsidRDefault="00EC0CD6" w:rsidP="000D3F54">
      <w:pPr>
        <w:pStyle w:val="Heading1"/>
      </w:pPr>
      <w:r w:rsidRPr="000D3F54">
        <w:t>Series 3000: Operations, Finance, and Property</w:t>
      </w:r>
    </w:p>
    <w:p w14:paraId="26C4D339" w14:textId="77777777" w:rsidR="00EC0CD6" w:rsidRPr="00E65975" w:rsidRDefault="00EC0CD6" w:rsidP="000D3F54">
      <w:pPr>
        <w:pStyle w:val="Heading2"/>
        <w:numPr>
          <w:ilvl w:val="0"/>
          <w:numId w:val="0"/>
        </w:numPr>
        <w:tabs>
          <w:tab w:val="left" w:pos="720"/>
        </w:tabs>
        <w:spacing w:after="200"/>
        <w:ind w:left="720" w:hanging="720"/>
      </w:pPr>
      <w:r w:rsidRPr="00E65975">
        <w:t>3200</w:t>
      </w:r>
      <w:r w:rsidRPr="00E65975">
        <w:tab/>
        <w:t>Finance and Borrowing</w:t>
      </w:r>
    </w:p>
    <w:p w14:paraId="67E8070C" w14:textId="77777777" w:rsidR="00EC0CD6" w:rsidRPr="000D3F54" w:rsidRDefault="00EC0CD6" w:rsidP="000D3F54">
      <w:pPr>
        <w:pStyle w:val="Heading3"/>
      </w:pPr>
      <w:bookmarkStart w:id="0" w:name="_Toc17807456"/>
      <w:r w:rsidRPr="000D3F54">
        <w:t>321</w:t>
      </w:r>
      <w:r w:rsidR="007C7397" w:rsidRPr="000D3F54">
        <w:t>2</w:t>
      </w:r>
      <w:r w:rsidR="000D3F54" w:rsidRPr="000D3F54">
        <w:tab/>
      </w:r>
      <w:r w:rsidRPr="000D3F54">
        <w:t>Post-Issuance Disclosure Compliance</w:t>
      </w:r>
      <w:bookmarkEnd w:id="0"/>
    </w:p>
    <w:p w14:paraId="4B63534A" w14:textId="6230C30A" w:rsidR="00EC0CD6" w:rsidRDefault="00EC0CD6" w:rsidP="000D3F54">
      <w:pPr>
        <w:pStyle w:val="PolicyBody"/>
      </w:pPr>
      <w:r>
        <w:t>I</w:t>
      </w:r>
      <w:r w:rsidRPr="00E63749">
        <w:t>n connection with the</w:t>
      </w:r>
      <w:r>
        <w:t xml:space="preserve"> District’s</w:t>
      </w:r>
      <w:r w:rsidRPr="00E63749">
        <w:t xml:space="preserve"> issuance of </w:t>
      </w:r>
      <w:r w:rsidRPr="00874283">
        <w:t xml:space="preserve">securities </w:t>
      </w:r>
      <w:r w:rsidR="007D72B4">
        <w:t xml:space="preserve">that </w:t>
      </w:r>
      <w:r w:rsidR="00F51A30">
        <w:t xml:space="preserve">are </w:t>
      </w:r>
      <w:r w:rsidRPr="00874283">
        <w:t>subject to the requirements of Securities and Exchange Commission Rule 15c2-12</w:t>
      </w:r>
      <w:r>
        <w:t xml:space="preserve"> (“Bonds”), the District may be subject to a continuing disclosure undertaking or agreement (“CDA”) </w:t>
      </w:r>
      <w:r w:rsidRPr="00874283">
        <w:t xml:space="preserve">to disclose certain information after issuance of </w:t>
      </w:r>
      <w:r>
        <w:t>Bonds</w:t>
      </w:r>
      <w:r w:rsidRPr="00874283">
        <w:t xml:space="preserve">. </w:t>
      </w:r>
      <w:r>
        <w:t xml:space="preserve">A CDA may be found in the Bond </w:t>
      </w:r>
      <w:r w:rsidRPr="00E63749">
        <w:t>transcript of proceedings.</w:t>
      </w:r>
    </w:p>
    <w:p w14:paraId="3C7F285B" w14:textId="77777777" w:rsidR="00EC0CD6" w:rsidRDefault="00EC0CD6" w:rsidP="000D3F54">
      <w:pPr>
        <w:pStyle w:val="PolicyBody"/>
      </w:pPr>
      <w:r>
        <w:t xml:space="preserve">The </w:t>
      </w:r>
      <w:r w:rsidR="007D72B4">
        <w:t xml:space="preserve">chief business official </w:t>
      </w:r>
      <w:r>
        <w:t xml:space="preserve">(“Compliance Officer”) will </w:t>
      </w:r>
      <w:r w:rsidRPr="00E63749">
        <w:t>be responsible for establishing and coordinating compliance with this Policy</w:t>
      </w:r>
      <w:r>
        <w:t>.</w:t>
      </w:r>
    </w:p>
    <w:p w14:paraId="753C092A" w14:textId="74EDA322" w:rsidR="00EC0CD6" w:rsidRPr="000D298C" w:rsidRDefault="00EC0CD6" w:rsidP="000D3F54">
      <w:pPr>
        <w:pStyle w:val="PolicyBody"/>
      </w:pPr>
      <w:r w:rsidRPr="000D298C">
        <w:t>If the Board determines that compliance with this Policy in a particular situation would impose an unreasonable burden on the District, it may forego compliance with the advice of bond counsel.</w:t>
      </w:r>
    </w:p>
    <w:p w14:paraId="1B3895DC" w14:textId="77777777" w:rsidR="00EC0CD6" w:rsidRDefault="00EC0CD6" w:rsidP="00EC0CD6">
      <w:pPr>
        <w:pStyle w:val="Level1"/>
      </w:pPr>
      <w:r>
        <w:t xml:space="preserve">The </w:t>
      </w:r>
      <w:r w:rsidRPr="003B19FD">
        <w:t>Compliance</w:t>
      </w:r>
      <w:r>
        <w:t xml:space="preserve"> Officer</w:t>
      </w:r>
    </w:p>
    <w:p w14:paraId="64D9C74D" w14:textId="77777777" w:rsidR="00EC0CD6" w:rsidRDefault="00EC0CD6" w:rsidP="00EC0CD6">
      <w:pPr>
        <w:pStyle w:val="Level2"/>
      </w:pPr>
      <w:r>
        <w:t>The Compliance Officer will:</w:t>
      </w:r>
    </w:p>
    <w:p w14:paraId="11BFBF86" w14:textId="77777777" w:rsidR="00EC0CD6" w:rsidRPr="003B19FD" w:rsidRDefault="00EC0CD6" w:rsidP="00EC0CD6">
      <w:pPr>
        <w:pStyle w:val="Level3"/>
      </w:pPr>
      <w:r w:rsidRPr="003B19FD">
        <w:t>monitor and verify compliance with the CDAs; and</w:t>
      </w:r>
    </w:p>
    <w:p w14:paraId="04233666" w14:textId="77777777" w:rsidR="00EC0CD6" w:rsidRDefault="00EC0CD6" w:rsidP="00EC0CD6">
      <w:pPr>
        <w:pStyle w:val="Level3"/>
      </w:pPr>
      <w:r w:rsidRPr="003B19FD">
        <w:t>create and m</w:t>
      </w:r>
      <w:r>
        <w:t>aintain an inventory of the District’s out</w:t>
      </w:r>
      <w:r w:rsidR="009A3EDB">
        <w:t>standing financial obligations.</w:t>
      </w:r>
    </w:p>
    <w:p w14:paraId="55EA9BCE" w14:textId="77777777" w:rsidR="00EC0CD6" w:rsidRDefault="00EC0CD6" w:rsidP="00EC0CD6">
      <w:pPr>
        <w:pStyle w:val="Level4"/>
      </w:pPr>
      <w:r>
        <w:t xml:space="preserve">A financial </w:t>
      </w:r>
      <w:r w:rsidRPr="003B19FD">
        <w:t>obligation</w:t>
      </w:r>
      <w:r>
        <w:t xml:space="preserve"> means:</w:t>
      </w:r>
    </w:p>
    <w:p w14:paraId="246802E2" w14:textId="77777777" w:rsidR="00EC0CD6" w:rsidRPr="003B19FD" w:rsidRDefault="00EC0CD6" w:rsidP="00EC0CD6">
      <w:pPr>
        <w:pStyle w:val="Bulletlevel4"/>
      </w:pPr>
      <w:r>
        <w:t xml:space="preserve">a debt </w:t>
      </w:r>
      <w:r w:rsidRPr="003B19FD">
        <w:t>obligation or a guarantee of a debt obligation; or</w:t>
      </w:r>
    </w:p>
    <w:p w14:paraId="454351CC" w14:textId="77777777" w:rsidR="00EC0CD6" w:rsidRDefault="00EC0CD6" w:rsidP="00EC0CD6">
      <w:pPr>
        <w:pStyle w:val="Bulletlevel4"/>
      </w:pPr>
      <w:r w:rsidRPr="003B19FD">
        <w:t>a derivative instrument entered into in connection with, or pledged as security or a source of payment for, existing or future debt obligations or a guarantee of such</w:t>
      </w:r>
      <w:r>
        <w:t xml:space="preserve"> derivative instrument.</w:t>
      </w:r>
    </w:p>
    <w:p w14:paraId="42A5D3B4" w14:textId="28AE43A1" w:rsidR="00EC0CD6" w:rsidRDefault="005E1F2B" w:rsidP="00EC0CD6">
      <w:pPr>
        <w:pStyle w:val="Level4"/>
      </w:pPr>
      <w:r>
        <w:t>Solely for the purposes of subsection C.2.b of this Policy, “financial obligation”</w:t>
      </w:r>
      <w:r w:rsidR="00EC0CD6">
        <w:t xml:space="preserve"> does not include any municipal security for which a final </w:t>
      </w:r>
      <w:r w:rsidR="00EC0CD6" w:rsidRPr="003B19FD">
        <w:t>official</w:t>
      </w:r>
      <w:r w:rsidR="00EC0CD6">
        <w:t xml:space="preserve"> statement has been provided to the Municipal Securities Rulemaking Board pursuant to Rule 15c2-12.</w:t>
      </w:r>
    </w:p>
    <w:p w14:paraId="6EB77D00" w14:textId="77777777" w:rsidR="00EC0CD6" w:rsidRDefault="00EC0CD6" w:rsidP="00EC0CD6">
      <w:pPr>
        <w:pStyle w:val="Level2"/>
      </w:pPr>
      <w:r>
        <w:t xml:space="preserve">The </w:t>
      </w:r>
      <w:r w:rsidR="007D72B4">
        <w:t xml:space="preserve">District, at its cost, will provide the </w:t>
      </w:r>
      <w:r w:rsidRPr="007244DB">
        <w:t>Co</w:t>
      </w:r>
      <w:r>
        <w:t xml:space="preserve">mpliance Officer </w:t>
      </w:r>
      <w:r w:rsidR="007D72B4">
        <w:t xml:space="preserve">with </w:t>
      </w:r>
      <w:r w:rsidRPr="007244DB">
        <w:t>training and educational resources necessary to ensure</w:t>
      </w:r>
      <w:r>
        <w:t xml:space="preserve"> compliance with the CDAs.</w:t>
      </w:r>
    </w:p>
    <w:p w14:paraId="10435653" w14:textId="77777777" w:rsidR="00EC0CD6" w:rsidRDefault="00EC0CD6" w:rsidP="00EC0CD6">
      <w:pPr>
        <w:pStyle w:val="Level2"/>
      </w:pPr>
      <w:r>
        <w:t xml:space="preserve">The Compliance </w:t>
      </w:r>
      <w:r w:rsidRPr="003B19FD">
        <w:t>Officer</w:t>
      </w:r>
      <w:r>
        <w:t xml:space="preserve"> has authority to seek guidance from the District’s bond counsel and financial advisors to comply with the CDAs.</w:t>
      </w:r>
    </w:p>
    <w:p w14:paraId="0253623B" w14:textId="77777777" w:rsidR="00EC0CD6" w:rsidRDefault="00EC0CD6" w:rsidP="00EC0CD6">
      <w:pPr>
        <w:pStyle w:val="Level1"/>
      </w:pPr>
      <w:r w:rsidRPr="003B19FD">
        <w:t>Review</w:t>
      </w:r>
      <w:r>
        <w:t xml:space="preserve"> of Offering Materials</w:t>
      </w:r>
    </w:p>
    <w:p w14:paraId="53EC2E20" w14:textId="77777777" w:rsidR="00EC0CD6" w:rsidRDefault="00EC0CD6" w:rsidP="00EC0CD6">
      <w:pPr>
        <w:pStyle w:val="Level1sub"/>
      </w:pPr>
      <w:r>
        <w:lastRenderedPageBreak/>
        <w:t>When the District issues Bonds,</w:t>
      </w:r>
      <w:r w:rsidRPr="007244DB">
        <w:t xml:space="preserve"> the Compl</w:t>
      </w:r>
      <w:r>
        <w:t xml:space="preserve">iance Officer will review the preliminary official statement, </w:t>
      </w:r>
      <w:r w:rsidRPr="003B19FD">
        <w:t>final</w:t>
      </w:r>
      <w:r>
        <w:t xml:space="preserve"> official statement, and</w:t>
      </w:r>
      <w:r w:rsidRPr="007244DB">
        <w:t xml:space="preserve"> oth</w:t>
      </w:r>
      <w:r>
        <w:t>er applicable offering materials to ensure they</w:t>
      </w:r>
      <w:r w:rsidRPr="00874283">
        <w:t xml:space="preserve"> do not</w:t>
      </w:r>
      <w:r>
        <w:t>:</w:t>
      </w:r>
    </w:p>
    <w:p w14:paraId="26B2606A" w14:textId="77777777" w:rsidR="00EC0CD6" w:rsidRPr="003B19FD" w:rsidRDefault="00EC0CD6" w:rsidP="00EC0CD6">
      <w:pPr>
        <w:pStyle w:val="Level2"/>
      </w:pPr>
      <w:r w:rsidRPr="00874283">
        <w:t xml:space="preserve">contain any </w:t>
      </w:r>
      <w:r w:rsidRPr="003B19FD">
        <w:t>untrue statement of a material fact; or</w:t>
      </w:r>
    </w:p>
    <w:p w14:paraId="2429845F" w14:textId="250AD95E" w:rsidR="00EC0CD6" w:rsidRPr="00874283" w:rsidRDefault="00EC0CD6" w:rsidP="00EC0CD6">
      <w:pPr>
        <w:pStyle w:val="Level2"/>
      </w:pPr>
      <w:r w:rsidRPr="003B19FD">
        <w:t>omit any material fact</w:t>
      </w:r>
      <w:r w:rsidRPr="00874283">
        <w:t xml:space="preserve"> that </w:t>
      </w:r>
      <w:r w:rsidR="005E1F2B">
        <w:t>needs</w:t>
      </w:r>
      <w:r w:rsidRPr="00874283">
        <w:t xml:space="preserve"> to be included </w:t>
      </w:r>
      <w:r>
        <w:t xml:space="preserve">to </w:t>
      </w:r>
      <w:r w:rsidR="005E1F2B">
        <w:t>ensure</w:t>
      </w:r>
      <w:r>
        <w:t xml:space="preserve"> the statements</w:t>
      </w:r>
      <w:r w:rsidRPr="00874283">
        <w:t xml:space="preserve"> </w:t>
      </w:r>
      <w:r w:rsidR="005E1F2B">
        <w:t xml:space="preserve">are </w:t>
      </w:r>
      <w:r w:rsidRPr="00874283">
        <w:t>not misleading.</w:t>
      </w:r>
    </w:p>
    <w:p w14:paraId="67C7FD63" w14:textId="77777777" w:rsidR="00EC0CD6" w:rsidRPr="00874283" w:rsidRDefault="00EC0CD6" w:rsidP="00EC0CD6">
      <w:pPr>
        <w:pStyle w:val="Level1"/>
      </w:pPr>
      <w:r w:rsidRPr="00874283">
        <w:t>Post</w:t>
      </w:r>
      <w:r>
        <w:t>-</w:t>
      </w:r>
      <w:r w:rsidRPr="003B19FD">
        <w:t>Issuance</w:t>
      </w:r>
      <w:r w:rsidRPr="00874283">
        <w:t xml:space="preserve"> Obligations</w:t>
      </w:r>
    </w:p>
    <w:p w14:paraId="7E50A6BD" w14:textId="77777777" w:rsidR="00EC0CD6" w:rsidRPr="003B19FD" w:rsidRDefault="00EC0CD6" w:rsidP="00EC0CD6">
      <w:pPr>
        <w:pStyle w:val="Level2"/>
      </w:pPr>
      <w:r>
        <w:t xml:space="preserve">The Compliance Officer will </w:t>
      </w:r>
      <w:r w:rsidRPr="00874283">
        <w:t xml:space="preserve">review </w:t>
      </w:r>
      <w:r>
        <w:t xml:space="preserve">continuing disclosure requirements before each annual </w:t>
      </w:r>
      <w:r w:rsidRPr="003B19FD">
        <w:t>disclosure deadline.</w:t>
      </w:r>
    </w:p>
    <w:p w14:paraId="77199073" w14:textId="77777777" w:rsidR="00EC0CD6" w:rsidRDefault="00EC0CD6" w:rsidP="00EC0CD6">
      <w:pPr>
        <w:pStyle w:val="Level2"/>
      </w:pPr>
      <w:r w:rsidRPr="003B19FD">
        <w:t>The Compliance Off</w:t>
      </w:r>
      <w:r>
        <w:t xml:space="preserve">icer’s annual review will include ensuring the following information, where applicable, is reported to the </w:t>
      </w:r>
      <w:r w:rsidRPr="007244DB">
        <w:t xml:space="preserve">proper </w:t>
      </w:r>
      <w:r>
        <w:t>repository</w:t>
      </w:r>
      <w:r w:rsidRPr="007244DB">
        <w:t xml:space="preserve"> (as of the date of adoption of this Policy, the repository is the Electronic Municipal Market Access website of the Municipal Securities Rulemaking Board at </w:t>
      </w:r>
      <w:hyperlink r:id="rId8" w:history="1">
        <w:r w:rsidR="00F51A30" w:rsidRPr="008B708C">
          <w:rPr>
            <w:rStyle w:val="Hyperlink"/>
          </w:rPr>
          <w:t>http://www.emma.msrb.org</w:t>
        </w:r>
      </w:hyperlink>
      <w:r w:rsidRPr="007244DB">
        <w:t>)</w:t>
      </w:r>
      <w:r>
        <w:t>:</w:t>
      </w:r>
    </w:p>
    <w:p w14:paraId="2AC78C48" w14:textId="3403D12F" w:rsidR="00EC0CD6" w:rsidRDefault="00EC0CD6" w:rsidP="00EC0CD6">
      <w:pPr>
        <w:pStyle w:val="Level3"/>
      </w:pPr>
      <w:r>
        <w:t xml:space="preserve">by </w:t>
      </w:r>
      <w:r w:rsidRPr="003B19FD">
        <w:t>December</w:t>
      </w:r>
      <w:r>
        <w:t xml:space="preserve"> 27 of each year (</w:t>
      </w:r>
      <w:r w:rsidR="005E1F2B">
        <w:t>or as otherwise required</w:t>
      </w:r>
      <w:r>
        <w:t xml:space="preserve"> in an applicable CDA): </w:t>
      </w:r>
    </w:p>
    <w:p w14:paraId="445D6D6A" w14:textId="77777777" w:rsidR="00EC0CD6" w:rsidRDefault="00EC0CD6" w:rsidP="00EC0CD6">
      <w:pPr>
        <w:pStyle w:val="Level4"/>
      </w:pPr>
      <w:r>
        <w:t xml:space="preserve">audited financial statements for the most recently ended fiscal year in compliance with state laws, administrative rules, and generally accepted accounting principles applicable to the District as such principles are </w:t>
      </w:r>
      <w:r w:rsidRPr="003B19FD">
        <w:t>prescribed</w:t>
      </w:r>
      <w:r>
        <w:t>, in part, by the Financial Accounting Standards Board and modified by the Government Accounting Standards Board; and</w:t>
      </w:r>
    </w:p>
    <w:p w14:paraId="4F3B4B61" w14:textId="77777777" w:rsidR="00EC0CD6" w:rsidRDefault="00EC0CD6" w:rsidP="00EC0CD6">
      <w:pPr>
        <w:pStyle w:val="Level4"/>
      </w:pPr>
      <w:r>
        <w:t>additional annual financial information and operating data set forth in the respective CDA or in the respective official statement for a particular Bond issue under the heading “CONTINUING DISCLOSURE” or similar heading.</w:t>
      </w:r>
    </w:p>
    <w:p w14:paraId="30C7BA35" w14:textId="77777777" w:rsidR="00EC0CD6" w:rsidRPr="007244DB" w:rsidRDefault="00EC0CD6" w:rsidP="00EC0CD6">
      <w:pPr>
        <w:pStyle w:val="Level3"/>
      </w:pPr>
      <w:r w:rsidRPr="007244DB">
        <w:t>notice of certain reportable events, subject in some cases to a determinat</w:t>
      </w:r>
      <w:r>
        <w:t>ion of materiality by the District, within 10 business days after</w:t>
      </w:r>
      <w:r w:rsidRPr="007244DB">
        <w:t xml:space="preserve"> the occurrence. See </w:t>
      </w:r>
      <w:r>
        <w:t>each CDA</w:t>
      </w:r>
      <w:r w:rsidRPr="007244DB">
        <w:t xml:space="preserve"> f</w:t>
      </w:r>
      <w:r>
        <w:t xml:space="preserve">or </w:t>
      </w:r>
      <w:r w:rsidR="007D72B4">
        <w:t xml:space="preserve">the respective </w:t>
      </w:r>
      <w:r>
        <w:t xml:space="preserve">list of events, which </w:t>
      </w:r>
      <w:r w:rsidRPr="007244DB">
        <w:t>typically includes the following:</w:t>
      </w:r>
    </w:p>
    <w:p w14:paraId="793F414B" w14:textId="77777777" w:rsidR="00EC0CD6" w:rsidRPr="003B19FD" w:rsidRDefault="00EC0CD6" w:rsidP="00EC0CD6">
      <w:pPr>
        <w:pStyle w:val="BulletLevel3"/>
      </w:pPr>
      <w:r>
        <w:t>non-</w:t>
      </w:r>
      <w:r w:rsidRPr="003B19FD">
        <w:t>payment related defaults, if material;</w:t>
      </w:r>
    </w:p>
    <w:p w14:paraId="0AB8C360" w14:textId="77777777" w:rsidR="00EC0CD6" w:rsidRPr="003B19FD" w:rsidRDefault="00EC0CD6" w:rsidP="00EC0CD6">
      <w:pPr>
        <w:pStyle w:val="BulletLevel3"/>
      </w:pPr>
      <w:r w:rsidRPr="003B19FD">
        <w:t>modifications to rights of bondholders, if material;</w:t>
      </w:r>
    </w:p>
    <w:p w14:paraId="6D2BE75B" w14:textId="77777777" w:rsidR="00EC0CD6" w:rsidRPr="003B19FD" w:rsidRDefault="00EC0CD6" w:rsidP="00EC0CD6">
      <w:pPr>
        <w:pStyle w:val="BulletLevel3"/>
      </w:pPr>
      <w:r w:rsidRPr="003B19FD">
        <w:t>bond calls, if material;</w:t>
      </w:r>
    </w:p>
    <w:p w14:paraId="485771B7" w14:textId="77777777" w:rsidR="00EC0CD6" w:rsidRPr="003B19FD" w:rsidRDefault="00EC0CD6" w:rsidP="00EC0CD6">
      <w:pPr>
        <w:pStyle w:val="BulletLevel3"/>
      </w:pPr>
      <w:r w:rsidRPr="003B19FD">
        <w:t>release, substitution, or sale of property securing repayment of the Bonds, if material;</w:t>
      </w:r>
    </w:p>
    <w:p w14:paraId="5DB2436F" w14:textId="77777777" w:rsidR="00EC0CD6" w:rsidRDefault="00EC0CD6" w:rsidP="00EC0CD6">
      <w:pPr>
        <w:pStyle w:val="BulletLevel3"/>
      </w:pPr>
      <w:r w:rsidRPr="003B19FD">
        <w:lastRenderedPageBreak/>
        <w:t>the consummation of a merger</w:t>
      </w:r>
      <w:r>
        <w:t>, consolidation, or acquisition, or certain asset sales involving the District, or entry into or termination of a definitive agreement relating to the foregoing, if material;</w:t>
      </w:r>
    </w:p>
    <w:p w14:paraId="1AD1DDE1" w14:textId="77777777" w:rsidR="00EC0CD6" w:rsidRDefault="00EC0CD6" w:rsidP="00EC0CD6">
      <w:pPr>
        <w:pStyle w:val="BulletLevel3"/>
      </w:pPr>
      <w:r>
        <w:t xml:space="preserve">appointment of a </w:t>
      </w:r>
      <w:r w:rsidRPr="003B19FD">
        <w:t>successor</w:t>
      </w:r>
      <w:r>
        <w:t xml:space="preserve"> or additional trustee or the change of name of a trustee, if material;</w:t>
      </w:r>
    </w:p>
    <w:p w14:paraId="0039D171" w14:textId="77777777" w:rsidR="00EC0CD6" w:rsidRPr="003B19FD" w:rsidRDefault="00EC0CD6" w:rsidP="00EC0CD6">
      <w:pPr>
        <w:pStyle w:val="BulletLevel3"/>
      </w:pPr>
      <w:r>
        <w:t>i</w:t>
      </w:r>
      <w:r w:rsidRPr="00900251">
        <w:t xml:space="preserve">ncurrence of a financial obligation </w:t>
      </w:r>
      <w:r>
        <w:t>by the District</w:t>
      </w:r>
      <w:r w:rsidRPr="00900251">
        <w:t xml:space="preserve">, if material, or </w:t>
      </w:r>
      <w:r w:rsidRPr="003B19FD">
        <w:t>agreement to covenants, events of default, remedies, priority rights, or other similar terms of a financial obligation of the District, any of which affect security holders, if material;</w:t>
      </w:r>
    </w:p>
    <w:p w14:paraId="45248137" w14:textId="77777777" w:rsidR="00EC0CD6" w:rsidRPr="003B19FD" w:rsidRDefault="00EC0CD6" w:rsidP="00EC0CD6">
      <w:pPr>
        <w:pStyle w:val="BulletLevel3"/>
      </w:pPr>
      <w:r w:rsidRPr="003B19FD">
        <w:t>principal and interest payment delinquencies;</w:t>
      </w:r>
    </w:p>
    <w:p w14:paraId="247DF86B" w14:textId="77777777" w:rsidR="00EC0CD6" w:rsidRPr="003B19FD" w:rsidRDefault="00EC0CD6" w:rsidP="00EC0CD6">
      <w:pPr>
        <w:pStyle w:val="BulletLevel3"/>
      </w:pPr>
      <w:r w:rsidRPr="003B19FD">
        <w:t>unscheduled draws on debt service reserves reflecting financial difficulties;</w:t>
      </w:r>
    </w:p>
    <w:p w14:paraId="0FAFF625" w14:textId="77777777" w:rsidR="00EC0CD6" w:rsidRPr="003B19FD" w:rsidRDefault="00EC0CD6" w:rsidP="00EC0CD6">
      <w:pPr>
        <w:pStyle w:val="BulletLevel3"/>
      </w:pPr>
      <w:r w:rsidRPr="003B19FD">
        <w:t>unscheduled draws on credit enhancements reflecting financial difficulties;</w:t>
      </w:r>
    </w:p>
    <w:p w14:paraId="6C8291AD" w14:textId="77777777" w:rsidR="00EC0CD6" w:rsidRPr="003B19FD" w:rsidRDefault="00EC0CD6" w:rsidP="00EC0CD6">
      <w:pPr>
        <w:pStyle w:val="BulletLevel3"/>
      </w:pPr>
      <w:r w:rsidRPr="003B19FD">
        <w:t>substitution of credit or liquidity providers, or their failure to perform;</w:t>
      </w:r>
    </w:p>
    <w:p w14:paraId="681B8871" w14:textId="77777777" w:rsidR="00EC0CD6" w:rsidRPr="003B19FD" w:rsidRDefault="00EC0CD6" w:rsidP="00EC0CD6">
      <w:pPr>
        <w:pStyle w:val="BulletLevel3"/>
      </w:pPr>
      <w:r w:rsidRPr="003B19FD">
        <w:t>defeasances;</w:t>
      </w:r>
    </w:p>
    <w:p w14:paraId="034E34CA" w14:textId="77777777" w:rsidR="00EC0CD6" w:rsidRPr="003B19FD" w:rsidRDefault="00EC0CD6" w:rsidP="00EC0CD6">
      <w:pPr>
        <w:pStyle w:val="BulletLevel3"/>
      </w:pPr>
      <w:r w:rsidRPr="003B19FD">
        <w:t>credit rating changes, including the District’s underlying rating or an enhanced rating on the Bonds due to credit enhancement;</w:t>
      </w:r>
    </w:p>
    <w:p w14:paraId="6A4BE5C6" w14:textId="77777777" w:rsidR="00EC0CD6" w:rsidRPr="003B19FD" w:rsidRDefault="00EC0CD6" w:rsidP="00EC0CD6">
      <w:pPr>
        <w:pStyle w:val="BulletLevel3"/>
      </w:pPr>
      <w:r w:rsidRPr="003B19FD">
        <w:t>adverse tax opinions or events affecting the status of the Bonds, the issuance by the IRS of proposed or final determinations of taxability, Notices of Proposed Issue (IRS Form 5701-TEB) or other material events, notices, or determinations as to the tax status of the Bonds;</w:t>
      </w:r>
    </w:p>
    <w:p w14:paraId="7CBAC634" w14:textId="77777777" w:rsidR="00EC0CD6" w:rsidRPr="003B19FD" w:rsidRDefault="00EC0CD6" w:rsidP="00EC0CD6">
      <w:pPr>
        <w:pStyle w:val="BulletLevel3"/>
      </w:pPr>
      <w:r w:rsidRPr="003B19FD">
        <w:t>tender offers;</w:t>
      </w:r>
    </w:p>
    <w:p w14:paraId="2452B19A" w14:textId="77777777" w:rsidR="00EC0CD6" w:rsidRDefault="00EC0CD6" w:rsidP="00EC0CD6">
      <w:pPr>
        <w:pStyle w:val="BulletLevel3"/>
      </w:pPr>
      <w:r>
        <w:t>bankruptcy, insolvency, receivership, or similar event of the District; and</w:t>
      </w:r>
    </w:p>
    <w:p w14:paraId="13742C67" w14:textId="77777777" w:rsidR="00EC0CD6" w:rsidRDefault="00EC0CD6" w:rsidP="00EC0CD6">
      <w:pPr>
        <w:pStyle w:val="BulletLevel3"/>
      </w:pPr>
      <w:r>
        <w:t>d</w:t>
      </w:r>
      <w:r w:rsidRPr="00900251">
        <w:t xml:space="preserve">efault, event of acceleration, </w:t>
      </w:r>
      <w:r w:rsidRPr="003B19FD">
        <w:t>termination</w:t>
      </w:r>
      <w:r w:rsidRPr="00900251">
        <w:t xml:space="preserve"> event, modification of terms, or other similar events under the terms of a financial obligation of the </w:t>
      </w:r>
      <w:r>
        <w:t>District</w:t>
      </w:r>
      <w:r w:rsidRPr="00900251">
        <w:t>, any of which reflect financial difficulties</w:t>
      </w:r>
      <w:r>
        <w:t>.</w:t>
      </w:r>
    </w:p>
    <w:p w14:paraId="6AD81B85" w14:textId="77777777" w:rsidR="00EC0CD6" w:rsidRDefault="00EC0CD6" w:rsidP="00EC0CD6">
      <w:pPr>
        <w:pStyle w:val="Level3"/>
      </w:pPr>
      <w:r>
        <w:t>If the District retains a third</w:t>
      </w:r>
      <w:r w:rsidR="007D72B4">
        <w:t xml:space="preserve"> </w:t>
      </w:r>
      <w:r>
        <w:t>party</w:t>
      </w:r>
      <w:r w:rsidRPr="00900251">
        <w:t xml:space="preserve"> </w:t>
      </w:r>
      <w:r>
        <w:t>to assist the District with</w:t>
      </w:r>
      <w:r w:rsidRPr="00900251">
        <w:t xml:space="preserve"> fulfilling its continuing disclosure resp</w:t>
      </w:r>
      <w:r>
        <w:t>onsibilities under any CDA</w:t>
      </w:r>
      <w:r w:rsidRPr="00900251">
        <w:t xml:space="preserve">, the Compliance Officer </w:t>
      </w:r>
      <w:r>
        <w:t>will</w:t>
      </w:r>
      <w:r w:rsidRPr="00900251">
        <w:t xml:space="preserve"> </w:t>
      </w:r>
      <w:r w:rsidRPr="003B19FD">
        <w:t>annually</w:t>
      </w:r>
      <w:r w:rsidRPr="00900251">
        <w:t xml:space="preserve"> review </w:t>
      </w:r>
      <w:r w:rsidR="007D72B4">
        <w:t>the</w:t>
      </w:r>
      <w:r w:rsidR="007D72B4" w:rsidRPr="00900251">
        <w:t xml:space="preserve"> </w:t>
      </w:r>
      <w:r w:rsidRPr="00900251">
        <w:t>contract a</w:t>
      </w:r>
      <w:r>
        <w:t>nd verify that the third party has fulfilled all of the District’s continuing disclosure</w:t>
      </w:r>
      <w:r w:rsidRPr="00900251">
        <w:t xml:space="preserve"> </w:t>
      </w:r>
      <w:r w:rsidRPr="00874283">
        <w:t>responsibilities</w:t>
      </w:r>
      <w:r>
        <w:t>.</w:t>
      </w:r>
    </w:p>
    <w:p w14:paraId="7FA4AEAE" w14:textId="77777777" w:rsidR="00EC0CD6" w:rsidRDefault="00EC0CD6" w:rsidP="00EC0CD6">
      <w:pPr>
        <w:pStyle w:val="Legal"/>
      </w:pPr>
      <w:r>
        <w:t xml:space="preserve">Legal authority: </w:t>
      </w:r>
      <w:r>
        <w:tab/>
        <w:t>17 CFR 240.15c2-12; MCL 380.1351a</w:t>
      </w:r>
    </w:p>
    <w:p w14:paraId="6BCE42AB" w14:textId="53BCA5DC" w:rsidR="00EC0CD6" w:rsidRDefault="00EC0CD6" w:rsidP="009A3EDB">
      <w:pPr>
        <w:pStyle w:val="PolicyBody"/>
      </w:pPr>
      <w:r>
        <w:t>Date adopted:</w:t>
      </w:r>
      <w:r w:rsidR="00AB15C5">
        <w:t xml:space="preserve"> June 10, 2024</w:t>
      </w:r>
    </w:p>
    <w:p w14:paraId="62E084E4" w14:textId="7B14B777" w:rsidR="00EC0CD6" w:rsidRDefault="00EC0CD6" w:rsidP="009A3EDB">
      <w:pPr>
        <w:pStyle w:val="PolicyBody"/>
      </w:pPr>
      <w:r>
        <w:lastRenderedPageBreak/>
        <w:t>Date revised:</w:t>
      </w:r>
      <w:r w:rsidR="005E1F2B">
        <w:t xml:space="preserve"> October 20, 2025</w:t>
      </w:r>
    </w:p>
    <w:sectPr w:rsidR="00EC0CD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3DE" w14:textId="77777777" w:rsidR="00694D95" w:rsidRDefault="00694D95" w:rsidP="00992EDB">
      <w:r>
        <w:separator/>
      </w:r>
    </w:p>
  </w:endnote>
  <w:endnote w:type="continuationSeparator" w:id="0">
    <w:p w14:paraId="3B3AEC20" w14:textId="77777777" w:rsidR="00694D95" w:rsidRDefault="00694D95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6D09" w14:textId="2BD89A0E" w:rsidR="005D49FE" w:rsidRPr="005D49FE" w:rsidRDefault="009A3EDB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1806DB92" wp14:editId="5A221E0B">
          <wp:simplePos x="0" y="0"/>
          <wp:positionH relativeFrom="column">
            <wp:posOffset>445135</wp:posOffset>
          </wp:positionH>
          <wp:positionV relativeFrom="paragraph">
            <wp:posOffset>-121689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687285">
      <w:t>2</w:t>
    </w:r>
    <w:r w:rsidR="005E1F2B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68F2" w14:textId="77777777" w:rsidR="00694D95" w:rsidRDefault="00694D95" w:rsidP="00992EDB">
      <w:r>
        <w:separator/>
      </w:r>
    </w:p>
  </w:footnote>
  <w:footnote w:type="continuationSeparator" w:id="0">
    <w:p w14:paraId="604CFE31" w14:textId="77777777" w:rsidR="00694D95" w:rsidRDefault="00694D95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1C54" w14:textId="70433167" w:rsidR="00AB15C5" w:rsidRDefault="00AB15C5" w:rsidP="00AB15C5">
    <w:pPr>
      <w:pStyle w:val="Header"/>
      <w:jc w:val="center"/>
    </w:pPr>
    <w:r>
      <w:rPr>
        <w:noProof/>
      </w:rPr>
      <w:drawing>
        <wp:inline distT="0" distB="0" distL="0" distR="0" wp14:anchorId="5CCB2517" wp14:editId="785ADA1D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A7941"/>
    <w:rsid w:val="000B0A2E"/>
    <w:rsid w:val="000B418D"/>
    <w:rsid w:val="000B679A"/>
    <w:rsid w:val="000B788C"/>
    <w:rsid w:val="000C2173"/>
    <w:rsid w:val="000C3E7B"/>
    <w:rsid w:val="000D0F94"/>
    <w:rsid w:val="000D298C"/>
    <w:rsid w:val="000D307B"/>
    <w:rsid w:val="000D3F54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4F7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156A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2FF6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5D22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C6A85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1F2B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285"/>
    <w:rsid w:val="0068751A"/>
    <w:rsid w:val="00694D95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E27DF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3606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C7397"/>
    <w:rsid w:val="007D0CD7"/>
    <w:rsid w:val="007D0FB0"/>
    <w:rsid w:val="007D2971"/>
    <w:rsid w:val="007D6DD2"/>
    <w:rsid w:val="007D72B4"/>
    <w:rsid w:val="007E23D0"/>
    <w:rsid w:val="007E399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0ADE"/>
    <w:rsid w:val="008415A9"/>
    <w:rsid w:val="008440C6"/>
    <w:rsid w:val="008451FD"/>
    <w:rsid w:val="00845D72"/>
    <w:rsid w:val="008521EA"/>
    <w:rsid w:val="0085548F"/>
    <w:rsid w:val="008610C6"/>
    <w:rsid w:val="008618B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0AB4"/>
    <w:rsid w:val="0089765B"/>
    <w:rsid w:val="008A2432"/>
    <w:rsid w:val="008A2E33"/>
    <w:rsid w:val="008A35DE"/>
    <w:rsid w:val="008B2ECF"/>
    <w:rsid w:val="008B2F07"/>
    <w:rsid w:val="008B3720"/>
    <w:rsid w:val="008B6FB6"/>
    <w:rsid w:val="008B756A"/>
    <w:rsid w:val="008C5516"/>
    <w:rsid w:val="008C6363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352C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0695"/>
    <w:rsid w:val="0097211E"/>
    <w:rsid w:val="00976ADA"/>
    <w:rsid w:val="00991B7B"/>
    <w:rsid w:val="00992EDB"/>
    <w:rsid w:val="00995A81"/>
    <w:rsid w:val="009971AE"/>
    <w:rsid w:val="009A27CF"/>
    <w:rsid w:val="009A3EDB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26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15C5"/>
    <w:rsid w:val="00AB2B1E"/>
    <w:rsid w:val="00AB5498"/>
    <w:rsid w:val="00AB5560"/>
    <w:rsid w:val="00AC0EEF"/>
    <w:rsid w:val="00AC2058"/>
    <w:rsid w:val="00AC2204"/>
    <w:rsid w:val="00AC2E20"/>
    <w:rsid w:val="00AC4A25"/>
    <w:rsid w:val="00AC5173"/>
    <w:rsid w:val="00AD1419"/>
    <w:rsid w:val="00AD4208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BF738A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2EFD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67A4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0608"/>
    <w:rsid w:val="00DB1B8A"/>
    <w:rsid w:val="00DB58B4"/>
    <w:rsid w:val="00DB78B0"/>
    <w:rsid w:val="00DC1A9B"/>
    <w:rsid w:val="00DC2015"/>
    <w:rsid w:val="00DC22A5"/>
    <w:rsid w:val="00DC533F"/>
    <w:rsid w:val="00DE0CBE"/>
    <w:rsid w:val="00DE2F87"/>
    <w:rsid w:val="00DE383C"/>
    <w:rsid w:val="00DF1081"/>
    <w:rsid w:val="00DF3C2B"/>
    <w:rsid w:val="00E010D3"/>
    <w:rsid w:val="00E12A83"/>
    <w:rsid w:val="00E16315"/>
    <w:rsid w:val="00E1771D"/>
    <w:rsid w:val="00E252B9"/>
    <w:rsid w:val="00E3172D"/>
    <w:rsid w:val="00E329B6"/>
    <w:rsid w:val="00E32EF9"/>
    <w:rsid w:val="00E3525C"/>
    <w:rsid w:val="00E4038F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B7975"/>
    <w:rsid w:val="00EC0CD6"/>
    <w:rsid w:val="00EC2FAA"/>
    <w:rsid w:val="00EC3D53"/>
    <w:rsid w:val="00EC78C4"/>
    <w:rsid w:val="00ED3F39"/>
    <w:rsid w:val="00ED56CB"/>
    <w:rsid w:val="00EE2CBE"/>
    <w:rsid w:val="00EE48CF"/>
    <w:rsid w:val="00EF0A66"/>
    <w:rsid w:val="00EF3848"/>
    <w:rsid w:val="00F0128C"/>
    <w:rsid w:val="00F05865"/>
    <w:rsid w:val="00F0658F"/>
    <w:rsid w:val="00F1127C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1A30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C5927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2B17E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D6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0D3F54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39649B"/>
    <w:pPr>
      <w:keepNext/>
      <w:numPr>
        <w:ilvl w:val="1"/>
        <w:numId w:val="3"/>
      </w:numPr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0D3F54"/>
    <w:pPr>
      <w:keepNext/>
      <w:spacing w:after="200"/>
      <w:ind w:firstLine="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0D3F54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0D3F54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0D3F54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0D3F54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0D3F54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0D3F5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3F54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39649B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0D3F54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0D3F54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0D3F54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0D3F54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0D3F54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0D3F54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0D3F54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ma.ms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D6CDD-3DB0-4938-9A62-9F71B4C8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35</TotalTime>
  <Pages>4</Pages>
  <Words>854</Words>
  <Characters>4869</Characters>
  <Application>Microsoft Office Word</Application>
  <DocSecurity>0</DocSecurity>
  <PresentationFormat>15|.DOCX</PresentationFormat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3212 Post-Issuance Disclosure Compliance.DOCX</vt:lpstr>
    </vt:vector>
  </TitlesOfParts>
  <Company>Thrun Law Firm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3212 Post-Issuance Disclosure Compliance.DOCX</dc:title>
  <dc:subject/>
  <dc:creator>Rachel E. Hewitt</dc:creator>
  <cp:keywords/>
  <dc:description/>
  <cp:lastModifiedBy>MICHELLE MUNYON</cp:lastModifiedBy>
  <cp:revision>14</cp:revision>
  <cp:lastPrinted>2019-11-05T00:23:00Z</cp:lastPrinted>
  <dcterms:created xsi:type="dcterms:W3CDTF">2019-12-13T14:59:00Z</dcterms:created>
  <dcterms:modified xsi:type="dcterms:W3CDTF">2025-09-23T14:50:00Z</dcterms:modified>
</cp:coreProperties>
</file>