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3D1E" w14:textId="77777777" w:rsidR="006B2A8C" w:rsidRPr="00CF67FA" w:rsidRDefault="006B2A8C" w:rsidP="00CF67FA">
      <w:pPr>
        <w:pStyle w:val="Heading1"/>
      </w:pPr>
      <w:r w:rsidRPr="00CF67FA">
        <w:t>Series 3000: Operation, Finance, and Property</w:t>
      </w:r>
    </w:p>
    <w:p w14:paraId="75C68136" w14:textId="68ABE06D" w:rsidR="006B2A8C" w:rsidRPr="00CF67FA" w:rsidRDefault="006B2A8C" w:rsidP="00CF67FA">
      <w:pPr>
        <w:pStyle w:val="Heading2"/>
      </w:pPr>
      <w:r w:rsidRPr="00CF67FA">
        <w:t>3100</w:t>
      </w:r>
      <w:r w:rsidR="00CF67FA" w:rsidRPr="00CF67FA">
        <w:tab/>
      </w:r>
      <w:r w:rsidRPr="00CF67FA">
        <w:t>General Operations</w:t>
      </w:r>
    </w:p>
    <w:p w14:paraId="5102D0CA" w14:textId="77777777" w:rsidR="00247B05" w:rsidRDefault="00247B05" w:rsidP="00247B05">
      <w:pPr>
        <w:pStyle w:val="Heading3"/>
        <w:rPr>
          <w:color w:val="auto"/>
        </w:rPr>
      </w:pPr>
      <w:r>
        <w:t>3118-F-12</w:t>
      </w:r>
      <w:r>
        <w:tab/>
        <w:t>Initial Procedures to Be Followed upon a Report of Title IX Sexual Harassment</w:t>
      </w:r>
    </w:p>
    <w:p w14:paraId="7410B0B8" w14:textId="77777777" w:rsidR="00247B05" w:rsidRDefault="00247B05" w:rsidP="00247B05">
      <w:pPr>
        <w:pStyle w:val="PolicyBody"/>
        <w:rPr>
          <w:i/>
          <w:iCs/>
          <w:sz w:val="20"/>
          <w:szCs w:val="20"/>
        </w:rPr>
      </w:pPr>
      <w:r>
        <w:rPr>
          <w:i/>
          <w:iCs/>
          <w:sz w:val="20"/>
          <w:szCs w:val="20"/>
        </w:rPr>
        <w:t xml:space="preserve">When a report of Title IX Sexual Harassment is made, the Title IX Coordinator should take all of the following actions. This document is an overview of best practices. It is not intended to limit the </w:t>
      </w:r>
      <w:proofErr w:type="gramStart"/>
      <w:r>
        <w:rPr>
          <w:i/>
          <w:iCs/>
          <w:sz w:val="20"/>
          <w:szCs w:val="20"/>
        </w:rPr>
        <w:t>District</w:t>
      </w:r>
      <w:proofErr w:type="gramEnd"/>
      <w:r>
        <w:rPr>
          <w:i/>
          <w:iCs/>
          <w:sz w:val="20"/>
          <w:szCs w:val="20"/>
        </w:rPr>
        <w:t xml:space="preserve"> from taking action necessary to address or prevent Title IX Sexual Harassment in its programs and activities.</w:t>
      </w:r>
    </w:p>
    <w:p w14:paraId="3F586CCB" w14:textId="77777777" w:rsidR="00247B05" w:rsidRDefault="00247B05" w:rsidP="00247B05">
      <w:pPr>
        <w:pStyle w:val="PolicyBody"/>
        <w:rPr>
          <w:i/>
          <w:iCs/>
          <w:sz w:val="20"/>
          <w:szCs w:val="20"/>
        </w:rPr>
      </w:pPr>
      <w:r>
        <w:rPr>
          <w:i/>
          <w:iCs/>
          <w:sz w:val="20"/>
          <w:szCs w:val="20"/>
        </w:rPr>
        <w:t xml:space="preserve">A similar approach can be used when the </w:t>
      </w:r>
      <w:proofErr w:type="gramStart"/>
      <w:r>
        <w:rPr>
          <w:i/>
          <w:iCs/>
          <w:sz w:val="20"/>
          <w:szCs w:val="20"/>
        </w:rPr>
        <w:t>District</w:t>
      </w:r>
      <w:proofErr w:type="gramEnd"/>
      <w:r>
        <w:rPr>
          <w:i/>
          <w:iCs/>
          <w:sz w:val="20"/>
          <w:szCs w:val="20"/>
        </w:rPr>
        <w:t xml:space="preserve"> receives a report of other Unlawful Discrimination, harassment, or retaliation.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247B05" w14:paraId="7D5C3382" w14:textId="77777777" w:rsidTr="00247B05">
        <w:tc>
          <w:tcPr>
            <w:tcW w:w="9360" w:type="dxa"/>
            <w:shd w:val="clear" w:color="auto" w:fill="BFBFBF" w:themeFill="background1" w:themeFillShade="BF"/>
            <w:hideMark/>
          </w:tcPr>
          <w:p w14:paraId="3E527B97" w14:textId="77777777" w:rsidR="00247B05" w:rsidRDefault="00247B05">
            <w:pPr>
              <w:spacing w:before="60" w:after="60"/>
              <w:jc w:val="center"/>
              <w:rPr>
                <w:b/>
                <w:sz w:val="24"/>
                <w:szCs w:val="24"/>
              </w:rPr>
            </w:pPr>
            <w:r>
              <w:rPr>
                <w:b/>
                <w:sz w:val="24"/>
                <w:szCs w:val="24"/>
              </w:rPr>
              <w:t>Initial Steps upon Notice or Report of Sexual Harassment</w:t>
            </w:r>
          </w:p>
        </w:tc>
      </w:tr>
      <w:tr w:rsidR="00247B05" w14:paraId="51CFE362" w14:textId="77777777" w:rsidTr="00247B05">
        <w:tc>
          <w:tcPr>
            <w:tcW w:w="9360" w:type="dxa"/>
            <w:shd w:val="clear" w:color="auto" w:fill="FFFFFF" w:themeFill="background1"/>
            <w:hideMark/>
          </w:tcPr>
          <w:p w14:paraId="5530F265" w14:textId="77777777" w:rsidR="00247B05" w:rsidRDefault="00247B05">
            <w:pPr>
              <w:pStyle w:val="PolicyBody"/>
              <w:tabs>
                <w:tab w:val="left" w:pos="360"/>
              </w:tabs>
              <w:rPr>
                <w:b/>
                <w:sz w:val="24"/>
                <w:szCs w:val="24"/>
              </w:rPr>
            </w:pPr>
            <w:sdt>
              <w:sdtPr>
                <w:id w:val="135430068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Treat the Complainant and Respondent equitably.</w:t>
            </w:r>
          </w:p>
        </w:tc>
      </w:tr>
      <w:tr w:rsidR="00247B05" w14:paraId="1F2D9640" w14:textId="77777777" w:rsidTr="00247B05">
        <w:tc>
          <w:tcPr>
            <w:tcW w:w="9360" w:type="dxa"/>
            <w:hideMark/>
          </w:tcPr>
          <w:p w14:paraId="2F530683" w14:textId="77777777" w:rsidR="00247B05" w:rsidRDefault="00247B05">
            <w:pPr>
              <w:pStyle w:val="PolicyBody"/>
              <w:tabs>
                <w:tab w:val="left" w:pos="360"/>
              </w:tabs>
              <w:ind w:left="360" w:hanging="360"/>
              <w:rPr>
                <w:sz w:val="24"/>
                <w:szCs w:val="24"/>
              </w:rPr>
            </w:pPr>
            <w:sdt>
              <w:sdtPr>
                <w:id w:val="570169823"/>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Contact the Complainant (and the Complainant’s Parent if Complainant is a minor) to arrange a meeting to discuss the Title IX Sexual Harassment report. This meeting can be in-person, virtual, or via phone.</w:t>
            </w:r>
          </w:p>
        </w:tc>
      </w:tr>
      <w:tr w:rsidR="00247B05" w14:paraId="4F6CE63B" w14:textId="77777777" w:rsidTr="00247B05">
        <w:tc>
          <w:tcPr>
            <w:tcW w:w="9360" w:type="dxa"/>
            <w:hideMark/>
          </w:tcPr>
          <w:p w14:paraId="32E9D3BE" w14:textId="77777777" w:rsidR="00247B05" w:rsidRDefault="00247B05">
            <w:pPr>
              <w:pStyle w:val="PolicyBody"/>
              <w:tabs>
                <w:tab w:val="left" w:pos="360"/>
              </w:tabs>
              <w:ind w:left="360" w:hanging="360"/>
              <w:rPr>
                <w:rFonts w:eastAsia="MS Gothic"/>
                <w:sz w:val="24"/>
                <w:szCs w:val="24"/>
              </w:rPr>
            </w:pPr>
            <w:sdt>
              <w:sdtPr>
                <w:rPr>
                  <w:rFonts w:eastAsia="MS Gothic"/>
                </w:rPr>
                <w:id w:val="120622335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Explain that the purpose of the meeting is to review the process for filing a Formal Title IX Complaint and to discuss Supportive Measures that the school may provide with or without a Formal Complaint.</w:t>
            </w:r>
          </w:p>
        </w:tc>
      </w:tr>
      <w:tr w:rsidR="00247B05" w14:paraId="07AF850B" w14:textId="77777777" w:rsidTr="00247B05">
        <w:tc>
          <w:tcPr>
            <w:tcW w:w="9360" w:type="dxa"/>
            <w:hideMark/>
          </w:tcPr>
          <w:p w14:paraId="1FC946D8" w14:textId="77777777" w:rsidR="00247B05" w:rsidRDefault="00247B05">
            <w:pPr>
              <w:pStyle w:val="PolicyBody"/>
              <w:tabs>
                <w:tab w:val="left" w:pos="360"/>
              </w:tabs>
              <w:rPr>
                <w:sz w:val="24"/>
                <w:szCs w:val="24"/>
              </w:rPr>
            </w:pPr>
            <w:sdt>
              <w:sdtPr>
                <w:rPr>
                  <w:rFonts w:eastAsia="MS Gothic"/>
                </w:rPr>
                <w:id w:val="-157018818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Schedule a date and time for the meeting as soon as possible.</w:t>
            </w:r>
          </w:p>
        </w:tc>
      </w:tr>
      <w:tr w:rsidR="00247B05" w14:paraId="6A57CC72" w14:textId="77777777" w:rsidTr="00247B05">
        <w:tc>
          <w:tcPr>
            <w:tcW w:w="9360" w:type="dxa"/>
            <w:hideMark/>
          </w:tcPr>
          <w:p w14:paraId="738FAFCA" w14:textId="77777777" w:rsidR="00247B05" w:rsidRDefault="00247B05">
            <w:pPr>
              <w:pStyle w:val="PolicyBody"/>
              <w:tabs>
                <w:tab w:val="left" w:pos="360"/>
              </w:tabs>
              <w:ind w:left="360" w:hanging="360"/>
              <w:rPr>
                <w:rFonts w:eastAsia="MS Gothic"/>
                <w:sz w:val="24"/>
                <w:szCs w:val="24"/>
              </w:rPr>
            </w:pPr>
            <w:sdt>
              <w:sdtPr>
                <w:rPr>
                  <w:rFonts w:eastAsia="MS Gothic"/>
                </w:rPr>
                <w:id w:val="13774264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eastAsia="MS Gothic"/>
                <w:color w:val="auto"/>
              </w:rPr>
              <w:tab/>
            </w:r>
            <w:r>
              <w:rPr>
                <w:rFonts w:eastAsia="MS Gothic"/>
              </w:rPr>
              <w:t xml:space="preserve">Provide a copy of Policy 3118 and a Title IX Formal Complaint Form (3118-F-1) to the Complainant (and </w:t>
            </w:r>
            <w:r>
              <w:t>Complainant’s Parent if Complainant is a minor) either before or at the meeting.</w:t>
            </w:r>
          </w:p>
        </w:tc>
      </w:tr>
      <w:tr w:rsidR="00247B05" w14:paraId="6D12363A" w14:textId="77777777" w:rsidTr="00247B05">
        <w:tc>
          <w:tcPr>
            <w:tcW w:w="9360" w:type="dxa"/>
            <w:shd w:val="clear" w:color="auto" w:fill="BFBFBF" w:themeFill="background1" w:themeFillShade="BF"/>
            <w:hideMark/>
          </w:tcPr>
          <w:p w14:paraId="454B1931" w14:textId="77777777" w:rsidR="00247B05" w:rsidRDefault="00247B05">
            <w:pPr>
              <w:spacing w:before="60" w:after="60"/>
              <w:jc w:val="center"/>
              <w:rPr>
                <w:rFonts w:eastAsiaTheme="minorHAnsi"/>
                <w:b/>
                <w:sz w:val="24"/>
                <w:szCs w:val="24"/>
              </w:rPr>
            </w:pPr>
            <w:r>
              <w:rPr>
                <w:b/>
                <w:sz w:val="24"/>
                <w:szCs w:val="24"/>
              </w:rPr>
              <w:t>Meeting with the Complainant</w:t>
            </w:r>
          </w:p>
        </w:tc>
      </w:tr>
      <w:tr w:rsidR="00247B05" w14:paraId="097481AA" w14:textId="77777777" w:rsidTr="00247B05">
        <w:tc>
          <w:tcPr>
            <w:tcW w:w="9360" w:type="dxa"/>
            <w:hideMark/>
          </w:tcPr>
          <w:p w14:paraId="6EB74F92" w14:textId="77777777" w:rsidR="00247B05" w:rsidRDefault="00247B05">
            <w:pPr>
              <w:tabs>
                <w:tab w:val="left" w:pos="360"/>
              </w:tabs>
              <w:spacing w:before="120" w:after="0"/>
              <w:ind w:left="360" w:hanging="360"/>
              <w:jc w:val="both"/>
              <w:rPr>
                <w:rFonts w:eastAsia="MS Gothic"/>
                <w:sz w:val="24"/>
                <w:szCs w:val="24"/>
              </w:rPr>
            </w:pPr>
            <w:sdt>
              <w:sdtPr>
                <w:rPr>
                  <w:rFonts w:eastAsia="MS Gothic"/>
                </w:rPr>
                <w:id w:val="-34879736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t>Inform the Complainant (or Complainant’s Parent) that the school received notice that the Complainant may have been subject to Title IX Sexual Harassment.</w:t>
            </w:r>
          </w:p>
        </w:tc>
      </w:tr>
      <w:tr w:rsidR="00247B05" w14:paraId="4FDD028A" w14:textId="77777777" w:rsidTr="00247B05">
        <w:tc>
          <w:tcPr>
            <w:tcW w:w="9360" w:type="dxa"/>
            <w:hideMark/>
          </w:tcPr>
          <w:p w14:paraId="559F0058" w14:textId="77777777" w:rsidR="00247B05" w:rsidRDefault="00247B05">
            <w:pPr>
              <w:tabs>
                <w:tab w:val="left" w:pos="360"/>
              </w:tabs>
              <w:spacing w:before="120" w:after="0"/>
              <w:ind w:left="360" w:hanging="360"/>
              <w:jc w:val="both"/>
              <w:rPr>
                <w:rFonts w:eastAsiaTheme="minorHAnsi"/>
                <w:sz w:val="24"/>
                <w:szCs w:val="24"/>
              </w:rPr>
            </w:pPr>
            <w:sdt>
              <w:sdtPr>
                <w:rPr>
                  <w:rFonts w:eastAsia="MS Gothic"/>
                </w:rPr>
                <w:id w:val="-82051198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Explain the process for filing a Formal Complaint and determine whether the Complainant wants to initiate the Grievance Process.</w:t>
            </w:r>
          </w:p>
        </w:tc>
      </w:tr>
      <w:tr w:rsidR="00247B05" w14:paraId="4E61F402" w14:textId="77777777" w:rsidTr="00247B05">
        <w:tc>
          <w:tcPr>
            <w:tcW w:w="9360" w:type="dxa"/>
            <w:hideMark/>
          </w:tcPr>
          <w:p w14:paraId="6CB7486A" w14:textId="77777777" w:rsidR="00247B05" w:rsidRDefault="00247B05">
            <w:pPr>
              <w:tabs>
                <w:tab w:val="left" w:pos="360"/>
              </w:tabs>
              <w:spacing w:after="120"/>
              <w:ind w:left="360" w:hanging="360"/>
              <w:jc w:val="both"/>
              <w:rPr>
                <w:rFonts w:eastAsia="MS Gothic"/>
                <w:sz w:val="24"/>
                <w:szCs w:val="24"/>
              </w:rPr>
            </w:pPr>
            <w:sdt>
              <w:sdtPr>
                <w:rPr>
                  <w:rFonts w:eastAsia="MS Gothic"/>
                </w:rPr>
                <w:id w:val="-187074942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r>
            <w:r>
              <w:t>Explain briefly the Grievance Process that the school must follow once a Formal Complaint is filed so that the Complainant understands the investigation process. The Title IX Coordinator should neither encourage nor discourage the filing of a Formal Complaint. Explain that the Grievance Process contains the following requirements:</w:t>
            </w:r>
          </w:p>
        </w:tc>
      </w:tr>
      <w:tr w:rsidR="00247B05" w14:paraId="4E79C56E" w14:textId="77777777" w:rsidTr="00247B05">
        <w:tc>
          <w:tcPr>
            <w:tcW w:w="9360" w:type="dxa"/>
            <w:hideMark/>
          </w:tcPr>
          <w:p w14:paraId="1EDAC0FA" w14:textId="77777777" w:rsidR="00247B05" w:rsidRDefault="00247B05" w:rsidP="00247B05">
            <w:pPr>
              <w:pStyle w:val="ListParagraph"/>
              <w:numPr>
                <w:ilvl w:val="0"/>
                <w:numId w:val="19"/>
              </w:numPr>
              <w:ind w:left="720"/>
              <w:rPr>
                <w:sz w:val="24"/>
                <w:szCs w:val="24"/>
              </w:rPr>
            </w:pPr>
            <w:r>
              <w:rPr>
                <w:sz w:val="24"/>
                <w:szCs w:val="24"/>
              </w:rPr>
              <w:t>The school must provide both parties notice of the allegations.</w:t>
            </w:r>
          </w:p>
          <w:p w14:paraId="4929FEE7" w14:textId="77777777" w:rsidR="00247B05" w:rsidRDefault="00247B05" w:rsidP="00247B05">
            <w:pPr>
              <w:pStyle w:val="ListParagraph"/>
              <w:numPr>
                <w:ilvl w:val="0"/>
                <w:numId w:val="19"/>
              </w:numPr>
              <w:ind w:left="720"/>
              <w:rPr>
                <w:sz w:val="24"/>
                <w:szCs w:val="24"/>
              </w:rPr>
            </w:pPr>
            <w:r>
              <w:rPr>
                <w:sz w:val="24"/>
                <w:szCs w:val="24"/>
              </w:rPr>
              <w:t>The school will assign a trained investigator to conduct an independent, unbiased investigation into the allegations. The investigator may or may not be a school employee.</w:t>
            </w:r>
          </w:p>
          <w:p w14:paraId="6B24B3B7" w14:textId="77777777" w:rsidR="00247B05" w:rsidRDefault="00247B05" w:rsidP="00247B05">
            <w:pPr>
              <w:pStyle w:val="ListParagraph"/>
              <w:numPr>
                <w:ilvl w:val="0"/>
                <w:numId w:val="19"/>
              </w:numPr>
              <w:ind w:left="720"/>
              <w:rPr>
                <w:sz w:val="24"/>
                <w:szCs w:val="24"/>
              </w:rPr>
            </w:pPr>
            <w:r>
              <w:rPr>
                <w:sz w:val="24"/>
                <w:szCs w:val="24"/>
              </w:rPr>
              <w:t>The school is required to keep the Complainant’s identity confidential except when information about the Complainant must be disclosed within the Grievance Process or as otherwise required by law. Information about the Complainant, including the Complainant’s identity, may be disclosed:</w:t>
            </w:r>
          </w:p>
          <w:p w14:paraId="7A0F5E7A" w14:textId="77777777" w:rsidR="00247B05" w:rsidRDefault="00247B05" w:rsidP="00247B05">
            <w:pPr>
              <w:pStyle w:val="ListParagraph"/>
              <w:numPr>
                <w:ilvl w:val="1"/>
                <w:numId w:val="19"/>
              </w:numPr>
              <w:ind w:left="1080"/>
              <w:rPr>
                <w:sz w:val="24"/>
                <w:szCs w:val="24"/>
              </w:rPr>
            </w:pPr>
            <w:r>
              <w:rPr>
                <w:sz w:val="24"/>
                <w:szCs w:val="24"/>
              </w:rPr>
              <w:lastRenderedPageBreak/>
              <w:t>When providing notice of the allegations to the Respondent (the person alleged to have perpetrated the harassment);</w:t>
            </w:r>
          </w:p>
          <w:p w14:paraId="3AA856D9" w14:textId="77777777" w:rsidR="00247B05" w:rsidRDefault="00247B05" w:rsidP="00247B05">
            <w:pPr>
              <w:pStyle w:val="ListParagraph"/>
              <w:numPr>
                <w:ilvl w:val="1"/>
                <w:numId w:val="19"/>
              </w:numPr>
              <w:ind w:left="1080"/>
              <w:rPr>
                <w:sz w:val="24"/>
                <w:szCs w:val="24"/>
              </w:rPr>
            </w:pPr>
            <w:r>
              <w:rPr>
                <w:sz w:val="24"/>
                <w:szCs w:val="24"/>
              </w:rPr>
              <w:t>When the investigator provides the required equal opportunity for the Parties to inspect and review any evidence obtained as part of the investigation that is directly related to the allegations raised in the Formal Complaint; and</w:t>
            </w:r>
          </w:p>
          <w:p w14:paraId="6718854B" w14:textId="77777777" w:rsidR="00247B05" w:rsidRDefault="00247B05" w:rsidP="00247B05">
            <w:pPr>
              <w:pStyle w:val="ListParagraph"/>
              <w:numPr>
                <w:ilvl w:val="1"/>
                <w:numId w:val="19"/>
              </w:numPr>
              <w:ind w:left="1080"/>
              <w:rPr>
                <w:sz w:val="24"/>
                <w:szCs w:val="24"/>
              </w:rPr>
            </w:pPr>
            <w:r>
              <w:rPr>
                <w:sz w:val="24"/>
                <w:szCs w:val="24"/>
              </w:rPr>
              <w:t>As otherwise required during the investigation.</w:t>
            </w:r>
          </w:p>
          <w:p w14:paraId="32BE6C82" w14:textId="77777777" w:rsidR="00247B05" w:rsidRDefault="00247B05" w:rsidP="00247B05">
            <w:pPr>
              <w:pStyle w:val="ListParagraph"/>
              <w:numPr>
                <w:ilvl w:val="0"/>
                <w:numId w:val="19"/>
              </w:numPr>
              <w:ind w:left="720"/>
              <w:rPr>
                <w:sz w:val="24"/>
                <w:szCs w:val="24"/>
              </w:rPr>
            </w:pPr>
            <w:r>
              <w:rPr>
                <w:sz w:val="24"/>
                <w:szCs w:val="24"/>
              </w:rPr>
              <w:t>The Respondent is presumed not responsible until the Decision-Maker makes a determination following the investigation.</w:t>
            </w:r>
          </w:p>
          <w:p w14:paraId="4E557E09" w14:textId="77777777" w:rsidR="00247B05" w:rsidRDefault="00247B05" w:rsidP="00247B05">
            <w:pPr>
              <w:pStyle w:val="ListParagraph"/>
              <w:numPr>
                <w:ilvl w:val="0"/>
                <w:numId w:val="19"/>
              </w:numPr>
              <w:ind w:left="720"/>
              <w:rPr>
                <w:sz w:val="24"/>
                <w:szCs w:val="24"/>
              </w:rPr>
            </w:pPr>
            <w:r>
              <w:rPr>
                <w:sz w:val="24"/>
                <w:szCs w:val="24"/>
              </w:rPr>
              <w:t>The Grievance Process may take 90-120 days, absent extenuating circumstances.</w:t>
            </w:r>
          </w:p>
          <w:p w14:paraId="40D0EBB2" w14:textId="77777777" w:rsidR="00247B05" w:rsidRDefault="00247B05" w:rsidP="00247B05">
            <w:pPr>
              <w:pStyle w:val="ListParagraph"/>
              <w:numPr>
                <w:ilvl w:val="0"/>
                <w:numId w:val="19"/>
              </w:numPr>
              <w:ind w:left="720"/>
              <w:rPr>
                <w:sz w:val="24"/>
                <w:szCs w:val="24"/>
              </w:rPr>
            </w:pPr>
            <w:r>
              <w:rPr>
                <w:sz w:val="24"/>
                <w:szCs w:val="24"/>
              </w:rPr>
              <w:t>The investigator cannot restrict either party from discussing the allegations or gathering evidence to support the party’s case.</w:t>
            </w:r>
          </w:p>
          <w:p w14:paraId="29EEEFFF" w14:textId="77777777" w:rsidR="00247B05" w:rsidRDefault="00247B05" w:rsidP="00247B05">
            <w:pPr>
              <w:pStyle w:val="ListParagraph"/>
              <w:numPr>
                <w:ilvl w:val="0"/>
                <w:numId w:val="19"/>
              </w:numPr>
              <w:ind w:left="720"/>
              <w:rPr>
                <w:rFonts w:eastAsia="MS Gothic"/>
                <w:sz w:val="24"/>
                <w:szCs w:val="24"/>
              </w:rPr>
            </w:pPr>
            <w:r>
              <w:rPr>
                <w:sz w:val="24"/>
                <w:szCs w:val="24"/>
              </w:rPr>
              <w:t>Retaliation against either party or any witness is strictly prohibited.</w:t>
            </w:r>
          </w:p>
        </w:tc>
      </w:tr>
      <w:tr w:rsidR="00247B05" w14:paraId="4E335B82" w14:textId="77777777" w:rsidTr="00247B05">
        <w:tc>
          <w:tcPr>
            <w:tcW w:w="9360" w:type="dxa"/>
            <w:hideMark/>
          </w:tcPr>
          <w:p w14:paraId="3097E4DA" w14:textId="77777777" w:rsidR="00247B05" w:rsidRDefault="00247B05">
            <w:pPr>
              <w:tabs>
                <w:tab w:val="left" w:pos="360"/>
              </w:tabs>
              <w:spacing w:before="120" w:after="0"/>
              <w:ind w:left="360" w:hanging="360"/>
              <w:jc w:val="both"/>
              <w:rPr>
                <w:rFonts w:eastAsiaTheme="minorHAnsi"/>
                <w:sz w:val="24"/>
                <w:szCs w:val="24"/>
              </w:rPr>
            </w:pPr>
            <w:sdt>
              <w:sdtPr>
                <w:id w:val="-141862622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tab/>
              <w:t>Explain to the Complainant that if the Complainant chooses not to file a Formal Complaint, the school still has an obligation to implement Supportive Measures, as appropriate, and will address all allegations to the best of its ability and to the extent permitted by law. Explain that, in some cases, the Title IX Coordinator may need to sign a Formal Complaint, even if the Complainant does not wish to file one. Further explain that in most cases, a Respondent cannot be disciplined for sexual harassment unless found responsible after an investigation of a Formal Complaint.</w:t>
            </w:r>
          </w:p>
        </w:tc>
      </w:tr>
      <w:tr w:rsidR="00247B05" w14:paraId="2530D1C9" w14:textId="77777777" w:rsidTr="00247B05">
        <w:tc>
          <w:tcPr>
            <w:tcW w:w="9360" w:type="dxa"/>
            <w:hideMark/>
          </w:tcPr>
          <w:p w14:paraId="234A5BAD" w14:textId="77777777" w:rsidR="00247B05" w:rsidRDefault="00247B05">
            <w:pPr>
              <w:tabs>
                <w:tab w:val="left" w:pos="360"/>
              </w:tabs>
              <w:spacing w:before="120" w:after="120"/>
              <w:ind w:left="360" w:hanging="360"/>
              <w:jc w:val="both"/>
              <w:rPr>
                <w:rFonts w:eastAsia="MS Gothic"/>
                <w:sz w:val="24"/>
                <w:szCs w:val="24"/>
              </w:rPr>
            </w:pPr>
            <w:sdt>
              <w:sdtPr>
                <w:rPr>
                  <w:rFonts w:eastAsia="MS Gothic"/>
                </w:rPr>
                <w:id w:val="113923496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t>Discuss the availability of Supportive Measures</w:t>
            </w:r>
          </w:p>
          <w:p w14:paraId="76ABC054" w14:textId="77777777" w:rsidR="00247B05" w:rsidRDefault="00247B05" w:rsidP="00247B05">
            <w:pPr>
              <w:pStyle w:val="ListParagraph"/>
              <w:numPr>
                <w:ilvl w:val="0"/>
                <w:numId w:val="19"/>
              </w:numPr>
              <w:ind w:left="720"/>
              <w:rPr>
                <w:sz w:val="24"/>
                <w:szCs w:val="24"/>
              </w:rPr>
            </w:pPr>
            <w:r>
              <w:rPr>
                <w:sz w:val="24"/>
                <w:szCs w:val="24"/>
              </w:rPr>
              <w:t>Explain that the school is required to provide, as appropriate, non-disciplinary, non-punitive individualized services to the Complainant or Respondent regardless of whether a Formal Complaint is filed.</w:t>
            </w:r>
          </w:p>
          <w:p w14:paraId="35FE5778" w14:textId="77777777" w:rsidR="00247B05" w:rsidRDefault="00247B05" w:rsidP="00247B05">
            <w:pPr>
              <w:pStyle w:val="ListParagraph"/>
              <w:numPr>
                <w:ilvl w:val="0"/>
                <w:numId w:val="19"/>
              </w:numPr>
              <w:ind w:left="720"/>
              <w:rPr>
                <w:sz w:val="24"/>
                <w:szCs w:val="24"/>
              </w:rPr>
            </w:pPr>
            <w:r>
              <w:rPr>
                <w:sz w:val="24"/>
                <w:szCs w:val="24"/>
              </w:rPr>
              <w:t>Explain that the purpose of Supportive Measures is to restore or preserve the Complainant’s equal access to the school’s programs and activities; they are offered without charge; and they are designed to protect the safety of the parties, the educational environment, and to deter harassment.</w:t>
            </w:r>
          </w:p>
          <w:p w14:paraId="796E614B" w14:textId="77777777" w:rsidR="00247B05" w:rsidRDefault="00247B05" w:rsidP="00247B05">
            <w:pPr>
              <w:pStyle w:val="ListParagraph"/>
              <w:numPr>
                <w:ilvl w:val="0"/>
                <w:numId w:val="19"/>
              </w:numPr>
              <w:ind w:left="720"/>
              <w:rPr>
                <w:sz w:val="24"/>
                <w:szCs w:val="24"/>
              </w:rPr>
            </w:pPr>
            <w:r>
              <w:rPr>
                <w:sz w:val="24"/>
                <w:szCs w:val="24"/>
              </w:rPr>
              <w:t>Provide the Complainant examples of available Supportive Measures. Supportive Measures could include but are not limited to: school-provided counseling, class schedule modification, provision of an escort, and mutual no-contact orders.</w:t>
            </w:r>
          </w:p>
          <w:p w14:paraId="1A977E1F" w14:textId="77777777" w:rsidR="00247B05" w:rsidRDefault="00247B05" w:rsidP="00247B05">
            <w:pPr>
              <w:pStyle w:val="ListParagraph"/>
              <w:numPr>
                <w:ilvl w:val="0"/>
                <w:numId w:val="19"/>
              </w:numPr>
              <w:ind w:left="720"/>
              <w:rPr>
                <w:sz w:val="24"/>
                <w:szCs w:val="24"/>
              </w:rPr>
            </w:pPr>
            <w:r>
              <w:rPr>
                <w:sz w:val="24"/>
                <w:szCs w:val="24"/>
              </w:rPr>
              <w:t>Ask the Complainant and Parents, as appropriate, for their input about the Supportive Measures they believe would be helpful.</w:t>
            </w:r>
          </w:p>
          <w:p w14:paraId="40CE391D" w14:textId="77777777" w:rsidR="00247B05" w:rsidRDefault="00247B05" w:rsidP="00247B05">
            <w:pPr>
              <w:pStyle w:val="ListParagraph"/>
              <w:numPr>
                <w:ilvl w:val="0"/>
                <w:numId w:val="19"/>
              </w:numPr>
              <w:ind w:left="720"/>
              <w:rPr>
                <w:rFonts w:eastAsia="MS Gothic"/>
                <w:sz w:val="24"/>
                <w:szCs w:val="24"/>
              </w:rPr>
            </w:pPr>
            <w:r>
              <w:rPr>
                <w:sz w:val="24"/>
                <w:szCs w:val="24"/>
              </w:rPr>
              <w:t>Offer Supportive Measures, taking into consideration the input of the Complainant and Parents, as appropriate and reasonable.</w:t>
            </w:r>
          </w:p>
          <w:p w14:paraId="4271DCCF" w14:textId="77777777" w:rsidR="00247B05" w:rsidRDefault="00247B05" w:rsidP="00247B05">
            <w:pPr>
              <w:pStyle w:val="ListParagraph"/>
              <w:numPr>
                <w:ilvl w:val="0"/>
                <w:numId w:val="19"/>
              </w:numPr>
              <w:ind w:left="720"/>
              <w:rPr>
                <w:rFonts w:eastAsia="MS Gothic"/>
                <w:sz w:val="24"/>
                <w:szCs w:val="24"/>
              </w:rPr>
            </w:pPr>
            <w:r>
              <w:rPr>
                <w:rFonts w:eastAsia="MS Gothic"/>
                <w:sz w:val="24"/>
                <w:szCs w:val="24"/>
              </w:rPr>
              <w:t>Document the Supportive Measures offered and the Supportive Measures accepted and rejected by the party. If no Supportive Measures are provided, document the reasons why.</w:t>
            </w:r>
          </w:p>
        </w:tc>
      </w:tr>
      <w:tr w:rsidR="00247B05" w14:paraId="024193E4" w14:textId="77777777" w:rsidTr="00247B05">
        <w:tc>
          <w:tcPr>
            <w:tcW w:w="9360" w:type="dxa"/>
            <w:hideMark/>
          </w:tcPr>
          <w:p w14:paraId="5CECC4AA" w14:textId="77777777" w:rsidR="00247B05" w:rsidRDefault="00247B05">
            <w:pPr>
              <w:tabs>
                <w:tab w:val="left" w:pos="360"/>
              </w:tabs>
              <w:spacing w:before="120" w:after="120"/>
              <w:ind w:left="360" w:hanging="360"/>
              <w:jc w:val="both"/>
              <w:rPr>
                <w:rFonts w:eastAsia="MS Gothic"/>
                <w:sz w:val="24"/>
                <w:szCs w:val="24"/>
              </w:rPr>
            </w:pPr>
            <w:sdt>
              <w:sdtPr>
                <w:rPr>
                  <w:rFonts w:eastAsia="MS Gothic"/>
                </w:rPr>
                <w:id w:val="-1603563953"/>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eastAsia="MS Gothic"/>
              </w:rPr>
              <w:tab/>
              <w:t>Follow up with written correspondence (e-mail or letter) summarizing the meeting. Include another copy of, or link to, Policy 3118 and the Title IX Formal Complaint Form (3118-F-1).</w:t>
            </w:r>
          </w:p>
        </w:tc>
      </w:tr>
    </w:tbl>
    <w:p w14:paraId="09C8A205" w14:textId="074A85FC" w:rsidR="006B2A8C" w:rsidRDefault="006B2A8C" w:rsidP="00247B05">
      <w:pPr>
        <w:pStyle w:val="Heading3"/>
      </w:pPr>
    </w:p>
    <w:sectPr w:rsidR="006B2A8C" w:rsidSect="00D95B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C681" w14:textId="77777777" w:rsidR="00A25F95" w:rsidRDefault="00A25F95" w:rsidP="00992EDB">
      <w:r>
        <w:separator/>
      </w:r>
    </w:p>
  </w:endnote>
  <w:endnote w:type="continuationSeparator" w:id="0">
    <w:p w14:paraId="3AF2AB50" w14:textId="77777777" w:rsidR="00A25F95" w:rsidRDefault="00A25F95"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4AE8" w14:textId="3317C4F3" w:rsidR="005D49FE" w:rsidRPr="005D49FE" w:rsidRDefault="007F55F5" w:rsidP="005D49FE">
    <w:pPr>
      <w:pStyle w:val="PolicyFooter"/>
    </w:pPr>
    <w:r>
      <w:drawing>
        <wp:anchor distT="0" distB="0" distL="114300" distR="114300" simplePos="0" relativeHeight="251658240" behindDoc="1" locked="0" layoutInCell="1" allowOverlap="1" wp14:anchorId="1E68D50D" wp14:editId="36C22372">
          <wp:simplePos x="0" y="0"/>
          <wp:positionH relativeFrom="column">
            <wp:posOffset>465530</wp:posOffset>
          </wp:positionH>
          <wp:positionV relativeFrom="paragraph">
            <wp:posOffset>-103835</wp:posOffset>
          </wp:positionV>
          <wp:extent cx="1089660" cy="363220"/>
          <wp:effectExtent l="0" t="0" r="0" b="0"/>
          <wp:wrapNone/>
          <wp:docPr id="5" name="Picture 5"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40544C">
      <w:t>5</w:t>
    </w:r>
    <w:r w:rsidR="005D49FE">
      <w:t xml:space="preserve"> </w:t>
    </w:r>
    <w:r w:rsidR="00D95B52">
      <w:tab/>
      <w:t xml:space="preserve">Page </w:t>
    </w:r>
    <w:r w:rsidR="00D95B52">
      <w:rPr>
        <w:noProof w:val="0"/>
      </w:rPr>
      <w:fldChar w:fldCharType="begin"/>
    </w:r>
    <w:r w:rsidR="00D95B52">
      <w:instrText xml:space="preserve"> PAGE   \* MERGEFORMAT </w:instrText>
    </w:r>
    <w:r w:rsidR="00D95B52">
      <w:rPr>
        <w:noProof w:val="0"/>
      </w:rPr>
      <w:fldChar w:fldCharType="separate"/>
    </w:r>
    <w:r w:rsidR="00C31015">
      <w:t>2</w:t>
    </w:r>
    <w:r w:rsidR="00D95B52">
      <w:fldChar w:fldCharType="end"/>
    </w:r>
    <w:r w:rsidR="00D95B52">
      <w:t xml:space="preserve"> of </w:t>
    </w:r>
    <w:r w:rsidR="00D95B52">
      <w:rPr>
        <w:noProof w:val="0"/>
      </w:rPr>
      <w:fldChar w:fldCharType="begin"/>
    </w:r>
    <w:r w:rsidR="00D95B52">
      <w:rPr>
        <w:noProof w:val="0"/>
      </w:rPr>
      <w:instrText xml:space="preserve"> NUMPAGES   \* MERGEFORMAT </w:instrText>
    </w:r>
    <w:r w:rsidR="00D95B52">
      <w:rPr>
        <w:noProof w:val="0"/>
      </w:rPr>
      <w:fldChar w:fldCharType="separate"/>
    </w:r>
    <w:r w:rsidR="00C31015">
      <w:t>2</w:t>
    </w:r>
    <w:r w:rsidR="00D95B5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BBF6" w14:textId="0B47E75D" w:rsidR="00D95B52" w:rsidRPr="005D49FE" w:rsidRDefault="00D95B52" w:rsidP="00D95B52">
    <w:pPr>
      <w:pStyle w:val="PolicyFooter"/>
    </w:pPr>
    <w:r>
      <w:drawing>
        <wp:anchor distT="0" distB="0" distL="114300" distR="114300" simplePos="0" relativeHeight="251660288" behindDoc="1" locked="0" layoutInCell="1" allowOverlap="1" wp14:anchorId="50D6B071" wp14:editId="573BCBB2">
          <wp:simplePos x="0" y="0"/>
          <wp:positionH relativeFrom="column">
            <wp:posOffset>465530</wp:posOffset>
          </wp:positionH>
          <wp:positionV relativeFrom="paragraph">
            <wp:posOffset>-103835</wp:posOffset>
          </wp:positionV>
          <wp:extent cx="1089660" cy="363220"/>
          <wp:effectExtent l="0" t="0" r="0" b="0"/>
          <wp:wrapNone/>
          <wp:docPr id="6" name="Picture 6"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w:t>
    </w:r>
    <w:r w:rsidR="0040544C">
      <w:t>25</w:t>
    </w:r>
    <w:r>
      <w:t xml:space="preserve"> </w:t>
    </w:r>
    <w:r>
      <w:tab/>
      <w:t xml:space="preserve">Page </w:t>
    </w:r>
    <w:r>
      <w:rPr>
        <w:noProof w:val="0"/>
      </w:rPr>
      <w:fldChar w:fldCharType="begin"/>
    </w:r>
    <w:r>
      <w:instrText xml:space="preserve"> PAGE   \* MERGEFORMAT </w:instrText>
    </w:r>
    <w:r>
      <w:rPr>
        <w:noProof w:val="0"/>
      </w:rPr>
      <w:fldChar w:fldCharType="separate"/>
    </w:r>
    <w:r w:rsidR="00C31015">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C31015">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3134" w14:textId="77777777" w:rsidR="00A25F95" w:rsidRDefault="00A25F95" w:rsidP="00992EDB">
      <w:r>
        <w:separator/>
      </w:r>
    </w:p>
  </w:footnote>
  <w:footnote w:type="continuationSeparator" w:id="0">
    <w:p w14:paraId="39B31118" w14:textId="77777777" w:rsidR="00A25F95" w:rsidRDefault="00A25F95"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D2FA" w14:textId="09CE1D00" w:rsidR="00D01DB3" w:rsidRPr="0093232C" w:rsidRDefault="0093232C" w:rsidP="0093232C">
    <w:pPr>
      <w:pStyle w:val="Heading3"/>
    </w:pPr>
    <w:r w:rsidRPr="00CF67FA">
      <w:t>3118-F-</w:t>
    </w:r>
    <w:r>
      <w:t>11</w:t>
    </w:r>
    <w:r w:rsidRPr="00CF67FA">
      <w:tab/>
    </w:r>
    <w:r>
      <w:t>Declining to File Title IX Formal Complaint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0698" w14:textId="54D98B82" w:rsidR="00577FF8" w:rsidRDefault="00577FF8" w:rsidP="00577FF8">
    <w:pPr>
      <w:pStyle w:val="Header"/>
      <w:jc w:val="center"/>
    </w:pPr>
    <w:r>
      <w:rPr>
        <w:noProof/>
      </w:rPr>
      <w:drawing>
        <wp:inline distT="0" distB="0" distL="0" distR="0" wp14:anchorId="38C9EA8B" wp14:editId="3537BB0D">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D6B59B1"/>
    <w:multiLevelType w:val="hybridMultilevel"/>
    <w:tmpl w:val="56FC5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AFC51A9"/>
    <w:multiLevelType w:val="hybridMultilevel"/>
    <w:tmpl w:val="0EE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8D5069E"/>
    <w:multiLevelType w:val="hybridMultilevel"/>
    <w:tmpl w:val="17268060"/>
    <w:lvl w:ilvl="0" w:tplc="478670A8">
      <w:start w:val="1"/>
      <w:numFmt w:val="decimal"/>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A377C"/>
    <w:multiLevelType w:val="hybridMultilevel"/>
    <w:tmpl w:val="86F0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17B407D"/>
    <w:multiLevelType w:val="hybridMultilevel"/>
    <w:tmpl w:val="663C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5"/>
  </w:num>
  <w:num w:numId="2">
    <w:abstractNumId w:val="5"/>
  </w:num>
  <w:num w:numId="3">
    <w:abstractNumId w:val="0"/>
  </w:num>
  <w:num w:numId="4">
    <w:abstractNumId w:val="8"/>
  </w:num>
  <w:num w:numId="5">
    <w:abstractNumId w:val="9"/>
  </w:num>
  <w:num w:numId="6">
    <w:abstractNumId w:val="1"/>
  </w:num>
  <w:num w:numId="7">
    <w:abstractNumId w:val="10"/>
  </w:num>
  <w:num w:numId="8">
    <w:abstractNumId w:val="4"/>
  </w:num>
  <w:num w:numId="9">
    <w:abstractNumId w:val="11"/>
  </w:num>
  <w:num w:numId="10">
    <w:abstractNumId w:val="1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3"/>
  </w:num>
  <w:num w:numId="18">
    <w:abstractNumId w:val="6"/>
  </w:num>
  <w:num w:numId="19">
    <w:abstractNumId w:val="2"/>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4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3904"/>
    <w:rsid w:val="000550A1"/>
    <w:rsid w:val="00055980"/>
    <w:rsid w:val="00055E11"/>
    <w:rsid w:val="000611AE"/>
    <w:rsid w:val="000644D2"/>
    <w:rsid w:val="00074BA9"/>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1DB1"/>
    <w:rsid w:val="000F43C1"/>
    <w:rsid w:val="000F5739"/>
    <w:rsid w:val="000F71E9"/>
    <w:rsid w:val="000F73EE"/>
    <w:rsid w:val="001052E2"/>
    <w:rsid w:val="00105F77"/>
    <w:rsid w:val="00106031"/>
    <w:rsid w:val="00106285"/>
    <w:rsid w:val="00106420"/>
    <w:rsid w:val="00110287"/>
    <w:rsid w:val="0011292A"/>
    <w:rsid w:val="001155F7"/>
    <w:rsid w:val="00124737"/>
    <w:rsid w:val="0012656D"/>
    <w:rsid w:val="0012716A"/>
    <w:rsid w:val="00140F21"/>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0ACC"/>
    <w:rsid w:val="00183086"/>
    <w:rsid w:val="00190295"/>
    <w:rsid w:val="00193BB2"/>
    <w:rsid w:val="00197318"/>
    <w:rsid w:val="001A0010"/>
    <w:rsid w:val="001A724C"/>
    <w:rsid w:val="001B5FC5"/>
    <w:rsid w:val="001B7262"/>
    <w:rsid w:val="001C0635"/>
    <w:rsid w:val="001C0D73"/>
    <w:rsid w:val="001C1EC8"/>
    <w:rsid w:val="001C4270"/>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0781B"/>
    <w:rsid w:val="00210AEB"/>
    <w:rsid w:val="002115CA"/>
    <w:rsid w:val="002168CB"/>
    <w:rsid w:val="00236807"/>
    <w:rsid w:val="002428B2"/>
    <w:rsid w:val="00244349"/>
    <w:rsid w:val="00247B05"/>
    <w:rsid w:val="0025052B"/>
    <w:rsid w:val="00250750"/>
    <w:rsid w:val="0025692D"/>
    <w:rsid w:val="002677E9"/>
    <w:rsid w:val="00270E1A"/>
    <w:rsid w:val="00272F61"/>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4B57"/>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5059"/>
    <w:rsid w:val="003B19FD"/>
    <w:rsid w:val="003C362E"/>
    <w:rsid w:val="003C427D"/>
    <w:rsid w:val="003D2BB4"/>
    <w:rsid w:val="003D4753"/>
    <w:rsid w:val="003E04B2"/>
    <w:rsid w:val="003E5C9C"/>
    <w:rsid w:val="003E66C2"/>
    <w:rsid w:val="003E710D"/>
    <w:rsid w:val="003F0F4B"/>
    <w:rsid w:val="003F5866"/>
    <w:rsid w:val="003F59D2"/>
    <w:rsid w:val="00400AFA"/>
    <w:rsid w:val="0040544C"/>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0394"/>
    <w:rsid w:val="00471CF6"/>
    <w:rsid w:val="00471FF1"/>
    <w:rsid w:val="004742BF"/>
    <w:rsid w:val="00474F9B"/>
    <w:rsid w:val="00475B1E"/>
    <w:rsid w:val="0048342E"/>
    <w:rsid w:val="00486175"/>
    <w:rsid w:val="0049110C"/>
    <w:rsid w:val="00495909"/>
    <w:rsid w:val="0049712E"/>
    <w:rsid w:val="004A0BC5"/>
    <w:rsid w:val="004A63C5"/>
    <w:rsid w:val="004A6A43"/>
    <w:rsid w:val="004B490F"/>
    <w:rsid w:val="004C156E"/>
    <w:rsid w:val="004C2D7A"/>
    <w:rsid w:val="004C31BB"/>
    <w:rsid w:val="004C5703"/>
    <w:rsid w:val="004C611F"/>
    <w:rsid w:val="004D23D4"/>
    <w:rsid w:val="004D2FCC"/>
    <w:rsid w:val="004D4515"/>
    <w:rsid w:val="004D4F69"/>
    <w:rsid w:val="004D62AC"/>
    <w:rsid w:val="004E42C3"/>
    <w:rsid w:val="004E6BE2"/>
    <w:rsid w:val="004E7CB6"/>
    <w:rsid w:val="004F29BD"/>
    <w:rsid w:val="004F73AF"/>
    <w:rsid w:val="00504DE8"/>
    <w:rsid w:val="005145C2"/>
    <w:rsid w:val="005146D7"/>
    <w:rsid w:val="00517239"/>
    <w:rsid w:val="005175A9"/>
    <w:rsid w:val="005237DA"/>
    <w:rsid w:val="00530125"/>
    <w:rsid w:val="00532227"/>
    <w:rsid w:val="00533506"/>
    <w:rsid w:val="0053757A"/>
    <w:rsid w:val="00542A14"/>
    <w:rsid w:val="00543A8A"/>
    <w:rsid w:val="0055077F"/>
    <w:rsid w:val="00555CE0"/>
    <w:rsid w:val="00556FEB"/>
    <w:rsid w:val="00577FF8"/>
    <w:rsid w:val="005802D1"/>
    <w:rsid w:val="0058201C"/>
    <w:rsid w:val="005876D8"/>
    <w:rsid w:val="00590196"/>
    <w:rsid w:val="0059060D"/>
    <w:rsid w:val="00592838"/>
    <w:rsid w:val="00593E85"/>
    <w:rsid w:val="00596172"/>
    <w:rsid w:val="00597D8F"/>
    <w:rsid w:val="005A719C"/>
    <w:rsid w:val="005B48AF"/>
    <w:rsid w:val="005B5ED9"/>
    <w:rsid w:val="005C1CA2"/>
    <w:rsid w:val="005C36D7"/>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5618"/>
    <w:rsid w:val="006464F7"/>
    <w:rsid w:val="00646C60"/>
    <w:rsid w:val="006507B1"/>
    <w:rsid w:val="00655D29"/>
    <w:rsid w:val="00656F30"/>
    <w:rsid w:val="00662C84"/>
    <w:rsid w:val="00663813"/>
    <w:rsid w:val="00666471"/>
    <w:rsid w:val="00680113"/>
    <w:rsid w:val="00682666"/>
    <w:rsid w:val="006857B5"/>
    <w:rsid w:val="00686520"/>
    <w:rsid w:val="0068751A"/>
    <w:rsid w:val="00697B31"/>
    <w:rsid w:val="006A0F19"/>
    <w:rsid w:val="006A188A"/>
    <w:rsid w:val="006A222E"/>
    <w:rsid w:val="006B2A8C"/>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114F"/>
    <w:rsid w:val="00712037"/>
    <w:rsid w:val="00714799"/>
    <w:rsid w:val="00714AB5"/>
    <w:rsid w:val="00714B3C"/>
    <w:rsid w:val="00725CB8"/>
    <w:rsid w:val="00727B11"/>
    <w:rsid w:val="00740EF6"/>
    <w:rsid w:val="00743128"/>
    <w:rsid w:val="00750212"/>
    <w:rsid w:val="00751A94"/>
    <w:rsid w:val="00751EF5"/>
    <w:rsid w:val="00753120"/>
    <w:rsid w:val="00753588"/>
    <w:rsid w:val="00755D36"/>
    <w:rsid w:val="00761680"/>
    <w:rsid w:val="00761D77"/>
    <w:rsid w:val="00762CC5"/>
    <w:rsid w:val="0077051A"/>
    <w:rsid w:val="0077497C"/>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A18"/>
    <w:rsid w:val="00876C9E"/>
    <w:rsid w:val="0087760D"/>
    <w:rsid w:val="0088147D"/>
    <w:rsid w:val="00885846"/>
    <w:rsid w:val="00885EF4"/>
    <w:rsid w:val="00894EBE"/>
    <w:rsid w:val="0089765B"/>
    <w:rsid w:val="008A2432"/>
    <w:rsid w:val="008A2E33"/>
    <w:rsid w:val="008A35DE"/>
    <w:rsid w:val="008B2ECF"/>
    <w:rsid w:val="008B2F07"/>
    <w:rsid w:val="008B3720"/>
    <w:rsid w:val="008B6FB6"/>
    <w:rsid w:val="008C5516"/>
    <w:rsid w:val="008D043D"/>
    <w:rsid w:val="008D311F"/>
    <w:rsid w:val="008D4294"/>
    <w:rsid w:val="008D58E2"/>
    <w:rsid w:val="008E0F90"/>
    <w:rsid w:val="008E307F"/>
    <w:rsid w:val="008E396B"/>
    <w:rsid w:val="008E69FA"/>
    <w:rsid w:val="008F32D3"/>
    <w:rsid w:val="008F359E"/>
    <w:rsid w:val="008F54C1"/>
    <w:rsid w:val="008F6A09"/>
    <w:rsid w:val="00902552"/>
    <w:rsid w:val="00903B37"/>
    <w:rsid w:val="00904BD5"/>
    <w:rsid w:val="00907530"/>
    <w:rsid w:val="00915BC3"/>
    <w:rsid w:val="00915CF1"/>
    <w:rsid w:val="00921EFB"/>
    <w:rsid w:val="009244D0"/>
    <w:rsid w:val="0092531E"/>
    <w:rsid w:val="009261A5"/>
    <w:rsid w:val="0093232C"/>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E7E29"/>
    <w:rsid w:val="009F50FC"/>
    <w:rsid w:val="00A00591"/>
    <w:rsid w:val="00A00E51"/>
    <w:rsid w:val="00A013A6"/>
    <w:rsid w:val="00A021A7"/>
    <w:rsid w:val="00A02673"/>
    <w:rsid w:val="00A03BCE"/>
    <w:rsid w:val="00A10999"/>
    <w:rsid w:val="00A13D07"/>
    <w:rsid w:val="00A145B9"/>
    <w:rsid w:val="00A214B1"/>
    <w:rsid w:val="00A24AB9"/>
    <w:rsid w:val="00A25C50"/>
    <w:rsid w:val="00A25F95"/>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77E85"/>
    <w:rsid w:val="00A81613"/>
    <w:rsid w:val="00A84FC3"/>
    <w:rsid w:val="00A85917"/>
    <w:rsid w:val="00A87F68"/>
    <w:rsid w:val="00A9138E"/>
    <w:rsid w:val="00AB0419"/>
    <w:rsid w:val="00AB2B1E"/>
    <w:rsid w:val="00AB2D0D"/>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56D9C"/>
    <w:rsid w:val="00B60229"/>
    <w:rsid w:val="00B6553C"/>
    <w:rsid w:val="00B65BEA"/>
    <w:rsid w:val="00B66B4F"/>
    <w:rsid w:val="00B70D6F"/>
    <w:rsid w:val="00B70E76"/>
    <w:rsid w:val="00B738D2"/>
    <w:rsid w:val="00B846B3"/>
    <w:rsid w:val="00B90702"/>
    <w:rsid w:val="00B91D49"/>
    <w:rsid w:val="00B91FF3"/>
    <w:rsid w:val="00B94B71"/>
    <w:rsid w:val="00BA09BB"/>
    <w:rsid w:val="00BA2EEC"/>
    <w:rsid w:val="00BB05A3"/>
    <w:rsid w:val="00BB7312"/>
    <w:rsid w:val="00BC3275"/>
    <w:rsid w:val="00BC53CB"/>
    <w:rsid w:val="00BE0AA4"/>
    <w:rsid w:val="00BF1F28"/>
    <w:rsid w:val="00BF7020"/>
    <w:rsid w:val="00C016FE"/>
    <w:rsid w:val="00C069B9"/>
    <w:rsid w:val="00C07B69"/>
    <w:rsid w:val="00C10BBD"/>
    <w:rsid w:val="00C11F55"/>
    <w:rsid w:val="00C1441F"/>
    <w:rsid w:val="00C20DEF"/>
    <w:rsid w:val="00C232FC"/>
    <w:rsid w:val="00C23722"/>
    <w:rsid w:val="00C26240"/>
    <w:rsid w:val="00C26AEA"/>
    <w:rsid w:val="00C31015"/>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3D59"/>
    <w:rsid w:val="00CD6E76"/>
    <w:rsid w:val="00CD7B75"/>
    <w:rsid w:val="00CE41CD"/>
    <w:rsid w:val="00CE5315"/>
    <w:rsid w:val="00CE56E7"/>
    <w:rsid w:val="00CE65E2"/>
    <w:rsid w:val="00CE6776"/>
    <w:rsid w:val="00CF4AB8"/>
    <w:rsid w:val="00CF67FA"/>
    <w:rsid w:val="00D004B3"/>
    <w:rsid w:val="00D01D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654C6"/>
    <w:rsid w:val="00D71166"/>
    <w:rsid w:val="00D72D53"/>
    <w:rsid w:val="00D80271"/>
    <w:rsid w:val="00D875B9"/>
    <w:rsid w:val="00D91394"/>
    <w:rsid w:val="00D91878"/>
    <w:rsid w:val="00D91A4C"/>
    <w:rsid w:val="00D922D3"/>
    <w:rsid w:val="00D9256C"/>
    <w:rsid w:val="00D95B52"/>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E3CF2"/>
    <w:rsid w:val="00DF1081"/>
    <w:rsid w:val="00DF3C2B"/>
    <w:rsid w:val="00E07BB7"/>
    <w:rsid w:val="00E12A83"/>
    <w:rsid w:val="00E16315"/>
    <w:rsid w:val="00E1771D"/>
    <w:rsid w:val="00E252B9"/>
    <w:rsid w:val="00E3172D"/>
    <w:rsid w:val="00E329B6"/>
    <w:rsid w:val="00E32EF9"/>
    <w:rsid w:val="00E3525C"/>
    <w:rsid w:val="00E41D18"/>
    <w:rsid w:val="00E430B1"/>
    <w:rsid w:val="00E45445"/>
    <w:rsid w:val="00E56BA3"/>
    <w:rsid w:val="00E61C43"/>
    <w:rsid w:val="00E6309D"/>
    <w:rsid w:val="00E6628F"/>
    <w:rsid w:val="00E70AB7"/>
    <w:rsid w:val="00E7246A"/>
    <w:rsid w:val="00E72702"/>
    <w:rsid w:val="00E72A5D"/>
    <w:rsid w:val="00E77DE5"/>
    <w:rsid w:val="00E83A2E"/>
    <w:rsid w:val="00E8560B"/>
    <w:rsid w:val="00E85C2C"/>
    <w:rsid w:val="00E85F68"/>
    <w:rsid w:val="00E91373"/>
    <w:rsid w:val="00E921D9"/>
    <w:rsid w:val="00E97485"/>
    <w:rsid w:val="00EA3C65"/>
    <w:rsid w:val="00EA7723"/>
    <w:rsid w:val="00EC2FAA"/>
    <w:rsid w:val="00EC3D53"/>
    <w:rsid w:val="00EC734C"/>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6E87E"/>
  <w15:chartTrackingRefBased/>
  <w15:docId w15:val="{2DF0BDBF-8BDB-426D-9193-7B1626B8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CF67FA"/>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CF67FA"/>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93232C"/>
    <w:pPr>
      <w:keepNext/>
      <w:tabs>
        <w:tab w:val="left" w:pos="1170"/>
      </w:tabs>
      <w:ind w:left="1170" w:hanging="1170"/>
      <w:outlineLvl w:val="2"/>
    </w:pPr>
    <w:rPr>
      <w:b/>
      <w:i/>
    </w:rPr>
  </w:style>
  <w:style w:type="paragraph" w:styleId="Heading4">
    <w:name w:val="heading 4"/>
    <w:basedOn w:val="Heading3"/>
    <w:link w:val="Heading4Char"/>
    <w:uiPriority w:val="9"/>
    <w:unhideWhenUsed/>
    <w:rsid w:val="00CF67FA"/>
    <w:pPr>
      <w:outlineLvl w:val="3"/>
    </w:pPr>
  </w:style>
  <w:style w:type="paragraph" w:styleId="Heading5">
    <w:name w:val="heading 5"/>
    <w:basedOn w:val="Heading3"/>
    <w:next w:val="Heading4"/>
    <w:link w:val="Heading5Char"/>
    <w:uiPriority w:val="9"/>
    <w:unhideWhenUsed/>
    <w:rsid w:val="00CF67FA"/>
    <w:pPr>
      <w:tabs>
        <w:tab w:val="left" w:pos="1080"/>
      </w:tabs>
      <w:ind w:left="1080" w:hanging="1080"/>
      <w:outlineLvl w:val="4"/>
    </w:pPr>
  </w:style>
  <w:style w:type="paragraph" w:styleId="Heading6">
    <w:name w:val="heading 6"/>
    <w:basedOn w:val="Heading4"/>
    <w:link w:val="Heading6Char"/>
    <w:uiPriority w:val="9"/>
    <w:unhideWhenUsed/>
    <w:rsid w:val="00CF67FA"/>
    <w:pPr>
      <w:outlineLvl w:val="5"/>
    </w:pPr>
  </w:style>
  <w:style w:type="paragraph" w:styleId="Heading7">
    <w:name w:val="heading 7"/>
    <w:basedOn w:val="Heading6"/>
    <w:link w:val="Heading7Char"/>
    <w:uiPriority w:val="9"/>
    <w:unhideWhenUsed/>
    <w:rsid w:val="00CF67FA"/>
    <w:pPr>
      <w:outlineLvl w:val="6"/>
    </w:pPr>
  </w:style>
  <w:style w:type="paragraph" w:styleId="Heading8">
    <w:name w:val="heading 8"/>
    <w:basedOn w:val="Heading7"/>
    <w:link w:val="Heading8Char"/>
    <w:uiPriority w:val="9"/>
    <w:unhideWhenUsed/>
    <w:rsid w:val="00CF67FA"/>
    <w:pPr>
      <w:outlineLvl w:val="7"/>
    </w:pPr>
  </w:style>
  <w:style w:type="paragraph" w:styleId="Heading9">
    <w:name w:val="heading 9"/>
    <w:basedOn w:val="Heading8"/>
    <w:link w:val="Heading9Char"/>
    <w:uiPriority w:val="9"/>
    <w:unhideWhenUsed/>
    <w:rsid w:val="00CF67F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CF67FA"/>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CF67FA"/>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CF67FA"/>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93232C"/>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CF67FA"/>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CF67FA"/>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CF67FA"/>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CF67FA"/>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CF67FA"/>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3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1114F"/>
    <w:pPr>
      <w:spacing w:after="0"/>
      <w:ind w:firstLine="0"/>
      <w:jc w:val="left"/>
    </w:pPr>
    <w:rPr>
      <w:rFonts w:asciiTheme="minorHAnsi" w:eastAsiaTheme="minorHAnsi" w:hAnsiTheme="minorHAnsi" w:cstheme="minorBidi"/>
      <w:kern w:val="0"/>
      <w:sz w:val="22"/>
      <w:szCs w:val="22"/>
    </w:rPr>
  </w:style>
  <w:style w:type="character" w:styleId="PlaceholderText">
    <w:name w:val="Placeholder Text"/>
    <w:basedOn w:val="DefaultParagraphFont"/>
    <w:uiPriority w:val="99"/>
    <w:semiHidden/>
    <w:rsid w:val="00711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4593538">
      <w:bodyDiv w:val="1"/>
      <w:marLeft w:val="0"/>
      <w:marRight w:val="0"/>
      <w:marTop w:val="0"/>
      <w:marBottom w:val="0"/>
      <w:divBdr>
        <w:top w:val="none" w:sz="0" w:space="0" w:color="auto"/>
        <w:left w:val="none" w:sz="0" w:space="0" w:color="auto"/>
        <w:bottom w:val="none" w:sz="0" w:space="0" w:color="auto"/>
        <w:right w:val="none" w:sz="0" w:space="0" w:color="auto"/>
      </w:divBdr>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D5C1-F004-41D6-9D2B-F619F6B4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4552</Characters>
  <Application>Microsoft Office Word</Application>
  <DocSecurity>0</DocSecurity>
  <PresentationFormat>15|.DOCX</PresentationFormat>
  <Lines>37</Lines>
  <Paragraphs>10</Paragraphs>
  <ScaleCrop>false</ScaleCrop>
  <HeadingPairs>
    <vt:vector size="2" baseType="variant">
      <vt:variant>
        <vt:lpstr>Title</vt:lpstr>
      </vt:variant>
      <vt:variant>
        <vt:i4>1</vt:i4>
      </vt:variant>
    </vt:vector>
  </HeadingPairs>
  <TitlesOfParts>
    <vt:vector size="1" baseType="lpstr">
      <vt:lpstr>3118-F-8 Title IX Determination of Responsibility</vt:lpstr>
    </vt:vector>
  </TitlesOfParts>
  <Company>Thrun Law Firm</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3118-F-11 Declining to File Title IX Formal Complaint.docx</dc:title>
  <dc:subject>3100 - General Operations</dc:subject>
  <dc:creator>Thrun Attorneys</dc:creator>
  <cp:keywords/>
  <dc:description/>
  <cp:lastModifiedBy>MICHELLE MUNYON</cp:lastModifiedBy>
  <cp:revision>3</cp:revision>
  <cp:lastPrinted>2021-08-11T19:53:00Z</cp:lastPrinted>
  <dcterms:created xsi:type="dcterms:W3CDTF">2025-02-26T14:18:00Z</dcterms:created>
  <dcterms:modified xsi:type="dcterms:W3CDTF">2025-09-23T18:31:00Z</dcterms:modified>
  <cp:category>Board Policy</cp:category>
</cp:coreProperties>
</file>