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DA8C" w14:textId="77777777" w:rsidR="00D80CE5" w:rsidRPr="00AA55D6" w:rsidRDefault="00D80CE5" w:rsidP="00AA55D6">
      <w:pPr>
        <w:pStyle w:val="Heading1"/>
      </w:pPr>
      <w:r w:rsidRPr="00AA55D6">
        <w:t>Series 5000: Students, Curriculum, and Academic Matters</w:t>
      </w:r>
    </w:p>
    <w:p w14:paraId="39B9F2C5" w14:textId="77777777" w:rsidR="00D80CE5" w:rsidRPr="00AA55D6" w:rsidRDefault="00D80CE5" w:rsidP="00AA55D6">
      <w:pPr>
        <w:pStyle w:val="Heading2"/>
      </w:pPr>
      <w:r w:rsidRPr="00AA55D6">
        <w:t>5200</w:t>
      </w:r>
      <w:r w:rsidR="00615D46" w:rsidRPr="00AA55D6">
        <w:tab/>
      </w:r>
      <w:r w:rsidRPr="00AA55D6">
        <w:t>Student Conduct and Discipline</w:t>
      </w:r>
    </w:p>
    <w:p w14:paraId="2DA3409A" w14:textId="77777777" w:rsidR="00D80CE5" w:rsidRPr="00AA55D6" w:rsidRDefault="00615D46" w:rsidP="00AA55D6">
      <w:pPr>
        <w:pStyle w:val="Heading3"/>
      </w:pPr>
      <w:r w:rsidRPr="00AA55D6">
        <w:t>5202</w:t>
      </w:r>
      <w:r w:rsidRPr="00AA55D6">
        <w:tab/>
      </w:r>
      <w:r w:rsidR="00D80CE5" w:rsidRPr="00AA55D6">
        <w:t>Unlawful Discrimination, Harassment, and Retaliation Against Students</w:t>
      </w:r>
    </w:p>
    <w:p w14:paraId="6AF22B9C" w14:textId="3A190B1C" w:rsidR="00D80CE5" w:rsidRDefault="00D80CE5" w:rsidP="00D80CE5">
      <w:pPr>
        <w:pStyle w:val="PolicyBody"/>
      </w:pPr>
      <w:r>
        <w:t xml:space="preserve">The </w:t>
      </w:r>
      <w:proofErr w:type="gramStart"/>
      <w:r>
        <w:t>District</w:t>
      </w:r>
      <w:proofErr w:type="gramEnd"/>
      <w:r>
        <w:t xml:space="preserve"> prohibits unlawful discrimination</w:t>
      </w:r>
      <w:r w:rsidR="002B4982">
        <w:t>. “</w:t>
      </w:r>
      <w:r w:rsidR="004C37EF">
        <w:t>U</w:t>
      </w:r>
      <w:r w:rsidR="002B4982">
        <w:t xml:space="preserve">nlawful </w:t>
      </w:r>
      <w:r w:rsidR="004C37EF">
        <w:t>D</w:t>
      </w:r>
      <w:r w:rsidR="002B4982">
        <w:t xml:space="preserve">iscrimination” includes unlawful harassment and </w:t>
      </w:r>
      <w:r w:rsidR="00F27CDA">
        <w:t>R</w:t>
      </w:r>
      <w:r w:rsidR="002B4982">
        <w:t>etaliation, unless specifically stated otherwise.</w:t>
      </w:r>
      <w:r>
        <w:t xml:space="preserve"> The </w:t>
      </w:r>
      <w:proofErr w:type="gramStart"/>
      <w:r>
        <w:t>District</w:t>
      </w:r>
      <w:proofErr w:type="gramEnd"/>
      <w:r>
        <w:t xml:space="preserve"> will investigate all allegations of </w:t>
      </w:r>
      <w:r w:rsidR="004C37EF">
        <w:t>U</w:t>
      </w:r>
      <w:r>
        <w:t xml:space="preserve">nlawful </w:t>
      </w:r>
      <w:r w:rsidR="004C37EF">
        <w:t>D</w:t>
      </w:r>
      <w:r>
        <w:t xml:space="preserve">iscrimination and will take appropriate action, including discipline, against any person who, following an investigation, is determined to have engaged in </w:t>
      </w:r>
      <w:r w:rsidR="004C37EF">
        <w:t>U</w:t>
      </w:r>
      <w:r>
        <w:t xml:space="preserve">nlawful </w:t>
      </w:r>
      <w:r w:rsidR="004C37EF">
        <w:t>D</w:t>
      </w:r>
      <w:r>
        <w:t>iscrimination.</w:t>
      </w:r>
    </w:p>
    <w:p w14:paraId="4A6776A5" w14:textId="134FC8A3" w:rsidR="004C37EF" w:rsidRDefault="00D80CE5" w:rsidP="00D80CE5">
      <w:pPr>
        <w:pStyle w:val="PolicyBody"/>
      </w:pPr>
      <w:r w:rsidRPr="00202C7A">
        <w:t xml:space="preserve">Complaints alleging </w:t>
      </w:r>
      <w:r w:rsidR="004C37EF">
        <w:t>Unlawful Discrimination, harassment, and Retaliation against a student will be investigated using the process outlined in Policies 3115-3115H.</w:t>
      </w:r>
    </w:p>
    <w:p w14:paraId="76D0D6B3" w14:textId="0B7E50EF" w:rsidR="000366E9" w:rsidRDefault="000366E9" w:rsidP="00D80CE5">
      <w:pPr>
        <w:pStyle w:val="PolicyBody"/>
      </w:pPr>
      <w:r>
        <w:t>Complaints alleging Title IX sexual harassment will be investigated using the Grievance Process outlined in Policy 3118.</w:t>
      </w:r>
    </w:p>
    <w:p w14:paraId="31C4E5F0" w14:textId="74E59C61" w:rsidR="00D80CE5" w:rsidRDefault="004C37EF" w:rsidP="00D80CE5">
      <w:pPr>
        <w:pStyle w:val="PolicyBody"/>
      </w:pPr>
      <w:r>
        <w:t xml:space="preserve">The identities of the District’s </w:t>
      </w:r>
      <w:r w:rsidR="00F27CDA">
        <w:t xml:space="preserve">Title IX </w:t>
      </w:r>
      <w:r>
        <w:t>Coordinator, Section 504 Coordinator, and Civil Rights Coordinator</w:t>
      </w:r>
      <w:r w:rsidR="00D80CE5" w:rsidRPr="00202C7A">
        <w:t xml:space="preserve"> are </w:t>
      </w:r>
      <w:r>
        <w:t xml:space="preserve">listed in </w:t>
      </w:r>
      <w:r w:rsidR="00D80CE5" w:rsidRPr="00202C7A">
        <w:t>by Policy 311</w:t>
      </w:r>
      <w:r>
        <w:t>5B</w:t>
      </w:r>
      <w:r w:rsidR="00D80CE5" w:rsidRPr="00202C7A">
        <w:t>.</w:t>
      </w:r>
    </w:p>
    <w:p w14:paraId="3084B001" w14:textId="77777777" w:rsidR="001C1EC8" w:rsidRDefault="00D80CE5" w:rsidP="00D80CE5">
      <w:pPr>
        <w:pStyle w:val="Level1"/>
      </w:pPr>
      <w:r>
        <w:t>Student Handbooks</w:t>
      </w:r>
    </w:p>
    <w:p w14:paraId="6D60E3C3" w14:textId="082B1AC2" w:rsidR="00D80CE5" w:rsidRDefault="00D80CE5" w:rsidP="00D80CE5">
      <w:pPr>
        <w:pStyle w:val="Level1sub"/>
      </w:pPr>
      <w:r>
        <w:t xml:space="preserve">The Superintendent or designee will include in student handbooks a statement explaining the </w:t>
      </w:r>
      <w:proofErr w:type="gramStart"/>
      <w:r>
        <w:t>District’s</w:t>
      </w:r>
      <w:proofErr w:type="gramEnd"/>
      <w:r>
        <w:t xml:space="preserve"> policy against </w:t>
      </w:r>
      <w:r w:rsidR="004C37EF">
        <w:t>U</w:t>
      </w:r>
      <w:r>
        <w:t xml:space="preserve">nlawful </w:t>
      </w:r>
      <w:r w:rsidR="004C37EF">
        <w:t>D</w:t>
      </w:r>
      <w:r>
        <w:t xml:space="preserve">iscrimination, including unlawful harassment and </w:t>
      </w:r>
      <w:r w:rsidR="004C37EF">
        <w:t>R</w:t>
      </w:r>
      <w:r>
        <w:t xml:space="preserve">etaliation. This statement must include an explanation of types of </w:t>
      </w:r>
      <w:r w:rsidR="004C37EF">
        <w:t>U</w:t>
      </w:r>
      <w:r>
        <w:t xml:space="preserve">nlawful </w:t>
      </w:r>
      <w:r w:rsidR="004C37EF">
        <w:t>D</w:t>
      </w:r>
      <w:r>
        <w:t>iscrimination, examples of harassment, reporting requirements, and consequences as described in this Policy.</w:t>
      </w:r>
    </w:p>
    <w:p w14:paraId="03B9421F" w14:textId="77777777" w:rsidR="00D80CE5" w:rsidRDefault="00D80CE5" w:rsidP="007512E4">
      <w:pPr>
        <w:pStyle w:val="Level1"/>
        <w:rPr>
          <w:sz w:val="29"/>
        </w:rPr>
      </w:pPr>
      <w:r>
        <w:t>Reporting</w:t>
      </w:r>
      <w:r>
        <w:rPr>
          <w:spacing w:val="-2"/>
        </w:rPr>
        <w:t xml:space="preserve"> </w:t>
      </w:r>
      <w:r>
        <w:t>Requirements</w:t>
      </w:r>
    </w:p>
    <w:p w14:paraId="752A4D57" w14:textId="0DB0D6B9" w:rsidR="00D80CE5" w:rsidRDefault="00D80CE5" w:rsidP="00D80CE5">
      <w:pPr>
        <w:pStyle w:val="Level1sub"/>
      </w:pPr>
      <w:r>
        <w:t xml:space="preserve">District personnel must immediately report incidents of alleged </w:t>
      </w:r>
      <w:r w:rsidR="004C37EF">
        <w:t>U</w:t>
      </w:r>
      <w:r>
        <w:t xml:space="preserve">nlawful </w:t>
      </w:r>
      <w:r w:rsidR="004C37EF">
        <w:t>D</w:t>
      </w:r>
      <w:r>
        <w:t>iscrimination, including incidents that District personnel witness or about which they</w:t>
      </w:r>
      <w:r>
        <w:rPr>
          <w:spacing w:val="-12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reports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information,</w:t>
      </w:r>
      <w:r>
        <w:rPr>
          <w:spacing w:val="-11"/>
        </w:rPr>
        <w:t xml:space="preserve"> </w:t>
      </w:r>
      <w:r>
        <w:t>regardless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incidents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verbal, visual,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physical,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incidents</w:t>
      </w:r>
      <w:r>
        <w:rPr>
          <w:spacing w:val="-13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constitute</w:t>
      </w:r>
      <w:r>
        <w:rPr>
          <w:spacing w:val="-11"/>
        </w:rPr>
        <w:t xml:space="preserve"> </w:t>
      </w:r>
      <w:r>
        <w:t>harassment,</w:t>
      </w:r>
      <w:r>
        <w:rPr>
          <w:spacing w:val="-11"/>
        </w:rPr>
        <w:t xml:space="preserve"> </w:t>
      </w:r>
      <w:r>
        <w:t>bullying, or</w:t>
      </w:r>
      <w:r>
        <w:rPr>
          <w:spacing w:val="-2"/>
        </w:rPr>
        <w:t xml:space="preserve"> </w:t>
      </w:r>
      <w:r>
        <w:t>hazing.</w:t>
      </w:r>
    </w:p>
    <w:p w14:paraId="72E5F7A4" w14:textId="15B90514" w:rsidR="00D80CE5" w:rsidRDefault="00D80CE5" w:rsidP="00D80CE5">
      <w:pPr>
        <w:pStyle w:val="Level1sub"/>
      </w:pPr>
      <w:r>
        <w:t xml:space="preserve">District personnel who witness an act of </w:t>
      </w:r>
      <w:r w:rsidR="004C37EF">
        <w:t>U</w:t>
      </w:r>
      <w:r>
        <w:t xml:space="preserve">nlawful </w:t>
      </w:r>
      <w:r w:rsidR="004C37EF">
        <w:t>D</w:t>
      </w:r>
      <w:r>
        <w:t>iscrimination must intervene immediately,</w:t>
      </w:r>
      <w:r>
        <w:rPr>
          <w:spacing w:val="-5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dangerous.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 who is unable to intervene should promptly attempt to find another person who is able to intervene, contact a building administrator, or contact law enforcement, as the situation</w:t>
      </w:r>
      <w:r>
        <w:rPr>
          <w:spacing w:val="5"/>
        </w:rPr>
        <w:t xml:space="preserve"> </w:t>
      </w:r>
      <w:r>
        <w:t>requires.</w:t>
      </w:r>
    </w:p>
    <w:p w14:paraId="7B5A444A" w14:textId="64F006B7" w:rsidR="00D80CE5" w:rsidRDefault="00D80CE5" w:rsidP="004C37EF">
      <w:pPr>
        <w:pStyle w:val="Level1sub"/>
      </w:pPr>
      <w:r>
        <w:t xml:space="preserve">Any student who witnesses an act of </w:t>
      </w:r>
      <w:r w:rsidR="004C37EF">
        <w:t>U</w:t>
      </w:r>
      <w:r>
        <w:t xml:space="preserve">nlawful </w:t>
      </w:r>
      <w:r w:rsidR="004C37EF">
        <w:t>D</w:t>
      </w:r>
      <w:r>
        <w:t xml:space="preserve">iscrimination is encouraged to report it to District personnel. No student will be retaliated against based on any report of suspected </w:t>
      </w:r>
      <w:r w:rsidR="004C37EF">
        <w:t>U</w:t>
      </w:r>
      <w:r w:rsidR="007E4825">
        <w:t xml:space="preserve">nlawful </w:t>
      </w:r>
      <w:r w:rsidR="004C37EF">
        <w:t>D</w:t>
      </w:r>
      <w:r>
        <w:t xml:space="preserve">iscrimination. A student may also anonymously report an incident of </w:t>
      </w:r>
      <w:r w:rsidR="004C37EF">
        <w:t>U</w:t>
      </w:r>
      <w:r>
        <w:t xml:space="preserve">nlawful </w:t>
      </w:r>
      <w:r w:rsidR="004C37EF">
        <w:t>D</w:t>
      </w:r>
      <w:r>
        <w:t xml:space="preserve">iscrimination. The </w:t>
      </w:r>
      <w:proofErr w:type="gramStart"/>
      <w:r>
        <w:t>District</w:t>
      </w:r>
      <w:proofErr w:type="gramEnd"/>
      <w:r>
        <w:t xml:space="preserve"> will investigate anonymous reports</w:t>
      </w:r>
      <w:r w:rsidR="004C37EF">
        <w:t xml:space="preserve"> to the extent possible</w:t>
      </w:r>
      <w:r>
        <w:t xml:space="preserve"> pursuant to </w:t>
      </w:r>
      <w:r w:rsidR="004C37EF">
        <w:t>Policies 3115-3115H</w:t>
      </w:r>
      <w:r w:rsidR="000366E9">
        <w:t xml:space="preserve"> or Policy 3118, as applicable</w:t>
      </w:r>
      <w:r w:rsidR="004C37EF">
        <w:t xml:space="preserve">. </w:t>
      </w:r>
      <w:r>
        <w:t xml:space="preserve">Minor students do not need </w:t>
      </w:r>
      <w:r w:rsidR="004C37EF">
        <w:t>Parent</w:t>
      </w:r>
      <w:r>
        <w:t xml:space="preserve"> permission to file </w:t>
      </w:r>
      <w:r w:rsidR="004C37EF">
        <w:t xml:space="preserve">a </w:t>
      </w:r>
      <w:r w:rsidR="004C37EF">
        <w:lastRenderedPageBreak/>
        <w:t>C</w:t>
      </w:r>
      <w:r>
        <w:t xml:space="preserve">omplaint or participate in the </w:t>
      </w:r>
      <w:r w:rsidR="004C37EF">
        <w:t>Grievance Procedure</w:t>
      </w:r>
      <w:r>
        <w:t xml:space="preserve"> described </w:t>
      </w:r>
      <w:r w:rsidR="004C37EF">
        <w:t>in Policies 3115-3115H</w:t>
      </w:r>
      <w:r w:rsidR="000366E9">
        <w:t xml:space="preserve"> and 3118</w:t>
      </w:r>
      <w:r>
        <w:t>.</w:t>
      </w:r>
    </w:p>
    <w:p w14:paraId="68260CCE" w14:textId="77777777" w:rsidR="00770487" w:rsidRPr="00F4262B" w:rsidRDefault="00770487" w:rsidP="00770487">
      <w:pPr>
        <w:pStyle w:val="Level1"/>
      </w:pPr>
      <w:r w:rsidRPr="00F4262B">
        <w:t xml:space="preserve">Office for </w:t>
      </w:r>
      <w:r w:rsidRPr="00316CE1">
        <w:t>Civil</w:t>
      </w:r>
      <w:r w:rsidRPr="00F4262B">
        <w:t xml:space="preserve"> Rights</w:t>
      </w:r>
    </w:p>
    <w:p w14:paraId="16C62623" w14:textId="6DCC0756" w:rsidR="00770487" w:rsidRPr="00F4262B" w:rsidRDefault="00770487" w:rsidP="00770487">
      <w:pPr>
        <w:pStyle w:val="Level1sub"/>
      </w:pPr>
      <w:r w:rsidRPr="00F4262B">
        <w:t xml:space="preserve">Any person who </w:t>
      </w:r>
      <w:r w:rsidRPr="00316CE1">
        <w:t>believes</w:t>
      </w:r>
      <w:r w:rsidRPr="00F4262B">
        <w:t xml:space="preserve"> that he or she was the victim of </w:t>
      </w:r>
      <w:r w:rsidR="004C37EF">
        <w:t>U</w:t>
      </w:r>
      <w:r w:rsidRPr="00F4262B">
        <w:t xml:space="preserve">nlawful </w:t>
      </w:r>
      <w:r w:rsidR="004C37EF">
        <w:t>D</w:t>
      </w:r>
      <w:r>
        <w:t xml:space="preserve">iscrimination </w:t>
      </w:r>
      <w:r w:rsidRPr="00F4262B">
        <w:t>may file a complaint with the Office for Civil Rights</w:t>
      </w:r>
      <w:r>
        <w:t xml:space="preserve"> (OCR</w:t>
      </w:r>
      <w:r w:rsidRPr="00F4262B">
        <w:t>) at any time:</w:t>
      </w:r>
    </w:p>
    <w:p w14:paraId="4AB1C463" w14:textId="77777777" w:rsidR="00770487" w:rsidRPr="00F4262B" w:rsidRDefault="00770487" w:rsidP="00770487">
      <w:pPr>
        <w:pStyle w:val="Level1sub"/>
        <w:spacing w:after="0"/>
        <w:jc w:val="center"/>
      </w:pPr>
      <w:r w:rsidRPr="00F4262B">
        <w:t>U.S. Department of Education</w:t>
      </w:r>
    </w:p>
    <w:p w14:paraId="20C7E23C" w14:textId="77777777" w:rsidR="00770487" w:rsidRPr="00F4262B" w:rsidRDefault="00770487" w:rsidP="00770487">
      <w:pPr>
        <w:pStyle w:val="Level1sub"/>
        <w:spacing w:after="0"/>
        <w:jc w:val="center"/>
      </w:pPr>
      <w:r w:rsidRPr="00F4262B">
        <w:t>Office for Civil Rights</w:t>
      </w:r>
    </w:p>
    <w:p w14:paraId="2F3ECA3A" w14:textId="77777777" w:rsidR="00770487" w:rsidRPr="00F4262B" w:rsidRDefault="00770487" w:rsidP="00770487">
      <w:pPr>
        <w:pStyle w:val="Level1sub"/>
        <w:spacing w:after="0"/>
        <w:jc w:val="center"/>
      </w:pPr>
      <w:r w:rsidRPr="00F4262B">
        <w:t>1350 Euclid Avenue, Suite 325</w:t>
      </w:r>
    </w:p>
    <w:p w14:paraId="16E0CFEA" w14:textId="77777777" w:rsidR="00770487" w:rsidRPr="00F4262B" w:rsidRDefault="00770487" w:rsidP="00770487">
      <w:pPr>
        <w:pStyle w:val="Level1sub"/>
        <w:spacing w:after="0"/>
        <w:jc w:val="center"/>
      </w:pPr>
      <w:r w:rsidRPr="00F4262B">
        <w:t>Cleveland, Ohio 44115</w:t>
      </w:r>
    </w:p>
    <w:p w14:paraId="49950A5D" w14:textId="77777777" w:rsidR="00770487" w:rsidRPr="00F4262B" w:rsidRDefault="00770487" w:rsidP="00770487">
      <w:pPr>
        <w:pStyle w:val="Level1sub"/>
        <w:spacing w:after="0"/>
        <w:jc w:val="center"/>
      </w:pPr>
      <w:r w:rsidRPr="00F4262B">
        <w:t>Phone: (216) 522-4970</w:t>
      </w:r>
    </w:p>
    <w:p w14:paraId="75BB8120" w14:textId="77777777" w:rsidR="00770487" w:rsidRPr="00F4262B" w:rsidRDefault="00770487" w:rsidP="00770487">
      <w:pPr>
        <w:pStyle w:val="Level1sub"/>
        <w:jc w:val="center"/>
      </w:pPr>
      <w:r w:rsidRPr="00F4262B">
        <w:t>E-mail: OCR.Cleveland@ed.gov</w:t>
      </w:r>
    </w:p>
    <w:p w14:paraId="3555A5AE" w14:textId="47426A19" w:rsidR="00770487" w:rsidRPr="00F4262B" w:rsidRDefault="004C37EF" w:rsidP="00770487">
      <w:pPr>
        <w:pStyle w:val="Level1sub"/>
      </w:pPr>
      <w:r>
        <w:t xml:space="preserve">An OCR </w:t>
      </w:r>
      <w:r w:rsidR="00770487" w:rsidRPr="00F4262B">
        <w:t>complaint may be f</w:t>
      </w:r>
      <w:r w:rsidR="00770487">
        <w:t xml:space="preserve">iled before, during, or after filing a </w:t>
      </w:r>
      <w:r>
        <w:t>C</w:t>
      </w:r>
      <w:r w:rsidR="00770487">
        <w:t>omplaint with the District.</w:t>
      </w:r>
      <w:r w:rsidR="00770487" w:rsidRPr="00F4262B">
        <w:t xml:space="preserve"> </w:t>
      </w:r>
      <w:r w:rsidR="00770487">
        <w:t>A</w:t>
      </w:r>
      <w:r w:rsidR="00770487" w:rsidRPr="00F4262B">
        <w:t xml:space="preserve"> person may forego filing a </w:t>
      </w:r>
      <w:r>
        <w:t>C</w:t>
      </w:r>
      <w:r w:rsidR="00770487" w:rsidRPr="00F4262B">
        <w:t xml:space="preserve">omplaint with the District and </w:t>
      </w:r>
      <w:r w:rsidR="00770487">
        <w:t>instead file a complaint directly with</w:t>
      </w:r>
      <w:r w:rsidR="00770487" w:rsidRPr="00F4262B">
        <w:t xml:space="preserve"> OCR. The </w:t>
      </w:r>
      <w:proofErr w:type="gramStart"/>
      <w:r w:rsidR="00770487" w:rsidRPr="00F4262B">
        <w:t>District</w:t>
      </w:r>
      <w:proofErr w:type="gramEnd"/>
      <w:r w:rsidR="00770487" w:rsidRPr="00F4262B">
        <w:t xml:space="preserve"> recommends that a person who has been subjected to </w:t>
      </w:r>
      <w:r w:rsidR="003D435E">
        <w:t>U</w:t>
      </w:r>
      <w:r w:rsidR="00770487" w:rsidRPr="00F4262B">
        <w:t xml:space="preserve">nlawful </w:t>
      </w:r>
      <w:r w:rsidR="003D435E">
        <w:t>D</w:t>
      </w:r>
      <w:r w:rsidR="00770487">
        <w:t xml:space="preserve">iscrimination </w:t>
      </w:r>
      <w:r w:rsidR="00770487" w:rsidRPr="00F4262B">
        <w:t xml:space="preserve">also file a </w:t>
      </w:r>
      <w:r w:rsidR="003D435E">
        <w:t>C</w:t>
      </w:r>
      <w:r w:rsidR="00770487" w:rsidRPr="00F4262B">
        <w:t xml:space="preserve">omplaint with the District to ensure that the District is able to take steps to prevent any further </w:t>
      </w:r>
      <w:r w:rsidR="003D435E">
        <w:t>discrimination</w:t>
      </w:r>
      <w:r w:rsidR="00770487" w:rsidRPr="00F4262B">
        <w:t xml:space="preserve"> and to discipline the alleged perpetrator, if </w:t>
      </w:r>
      <w:r w:rsidR="003D435E">
        <w:t>appropriate</w:t>
      </w:r>
      <w:r w:rsidR="00770487" w:rsidRPr="00F4262B">
        <w:t>. OCR does not serve as an appellate body for District decisions. An investigation by OCR will occur separately from any District investigation.</w:t>
      </w:r>
    </w:p>
    <w:p w14:paraId="25C5EB69" w14:textId="487FA504" w:rsidR="00770487" w:rsidRDefault="00770487" w:rsidP="00770487">
      <w:pPr>
        <w:pStyle w:val="Legal"/>
      </w:pPr>
      <w:r>
        <w:t>Legal authority:</w:t>
      </w:r>
      <w:r>
        <w:tab/>
      </w:r>
      <w:r w:rsidRPr="000B4495">
        <w:t xml:space="preserve">20 USC </w:t>
      </w:r>
      <w:r>
        <w:t>1400 et seq.,</w:t>
      </w:r>
      <w:r w:rsidR="00615D46">
        <w:t xml:space="preserve"> </w:t>
      </w:r>
      <w:r w:rsidRPr="000B4495">
        <w:t xml:space="preserve">1681 et seq.; 29 USC 206 et seq., </w:t>
      </w:r>
      <w:r>
        <w:t xml:space="preserve">621 et seq., </w:t>
      </w:r>
      <w:r w:rsidRPr="000B4495">
        <w:t xml:space="preserve">701 et seq., </w:t>
      </w:r>
      <w:r>
        <w:t xml:space="preserve">794, </w:t>
      </w:r>
      <w:r w:rsidRPr="000B4495">
        <w:t>2601 et seq.</w:t>
      </w:r>
      <w:r>
        <w:t>, 6101 et seq.</w:t>
      </w:r>
      <w:r w:rsidRPr="000B4495">
        <w:t xml:space="preserve">; 38 USC 4301 et seq.; 42 USC </w:t>
      </w:r>
      <w:r>
        <w:t xml:space="preserve">1983, </w:t>
      </w:r>
      <w:r w:rsidRPr="000B4495">
        <w:t xml:space="preserve">2000d et seq., 2000e et seq., 2000ff et seq., </w:t>
      </w:r>
      <w:r>
        <w:t xml:space="preserve">6101 et seq., </w:t>
      </w:r>
      <w:r w:rsidRPr="000B4495">
        <w:t xml:space="preserve">12101 et seq.; </w:t>
      </w:r>
      <w:r>
        <w:t>29 CFR 1604.1 et seq.,</w:t>
      </w:r>
      <w:r w:rsidRPr="00713BAB">
        <w:t xml:space="preserve"> 1635</w:t>
      </w:r>
      <w:r>
        <w:t>;</w:t>
      </w:r>
      <w:r w:rsidRPr="00713BAB">
        <w:t xml:space="preserve"> 34 CFR 106.</w:t>
      </w:r>
      <w:r w:rsidR="003D435E">
        <w:t>1 et seq.</w:t>
      </w:r>
      <w:r>
        <w:t xml:space="preserve">; </w:t>
      </w:r>
      <w:r w:rsidRPr="000B4495">
        <w:t>MCL 3</w:t>
      </w:r>
      <w:r>
        <w:t>7.1101 et seq., 37.2101 et seq.</w:t>
      </w:r>
    </w:p>
    <w:p w14:paraId="34E4E420" w14:textId="1CBB9E86" w:rsidR="00770487" w:rsidRDefault="00770487" w:rsidP="00AA55D6">
      <w:pPr>
        <w:pStyle w:val="PolicyBody"/>
      </w:pPr>
      <w:r>
        <w:t>Date adopted:</w:t>
      </w:r>
      <w:r w:rsidR="00A263C2">
        <w:t xml:space="preserve"> June 10, 2024</w:t>
      </w:r>
    </w:p>
    <w:p w14:paraId="4C107651" w14:textId="6290392B" w:rsidR="00770487" w:rsidRDefault="00770487" w:rsidP="00AA55D6">
      <w:pPr>
        <w:pStyle w:val="PolicyBody"/>
      </w:pPr>
      <w:r>
        <w:t>Date revised:</w:t>
      </w:r>
      <w:r w:rsidR="003D435E">
        <w:t xml:space="preserve"> </w:t>
      </w:r>
      <w:r w:rsidR="000366E9">
        <w:t>April 21, 2025</w:t>
      </w:r>
    </w:p>
    <w:sectPr w:rsidR="007704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A48B" w14:textId="77777777" w:rsidR="006A558B" w:rsidRDefault="006A558B" w:rsidP="00992EDB">
      <w:r>
        <w:separator/>
      </w:r>
    </w:p>
  </w:endnote>
  <w:endnote w:type="continuationSeparator" w:id="0">
    <w:p w14:paraId="1A6E4B6D" w14:textId="77777777" w:rsidR="006A558B" w:rsidRDefault="006A558B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6E7" w14:textId="77511E3A" w:rsidR="005D49FE" w:rsidRPr="005D49FE" w:rsidRDefault="00615D46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06936D22" wp14:editId="60CE5624">
          <wp:simplePos x="0" y="0"/>
          <wp:positionH relativeFrom="column">
            <wp:posOffset>445135</wp:posOffset>
          </wp:positionH>
          <wp:positionV relativeFrom="paragraph">
            <wp:posOffset>-80673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323FF8">
      <w:t>2</w:t>
    </w:r>
    <w:r w:rsidR="000366E9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0253" w14:textId="77777777" w:rsidR="006A558B" w:rsidRDefault="006A558B" w:rsidP="00992EDB">
      <w:r>
        <w:separator/>
      </w:r>
    </w:p>
  </w:footnote>
  <w:footnote w:type="continuationSeparator" w:id="0">
    <w:p w14:paraId="7C3B8403" w14:textId="77777777" w:rsidR="006A558B" w:rsidRDefault="006A558B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425D" w14:textId="6E59B09E" w:rsidR="00A263C2" w:rsidRDefault="00A263C2" w:rsidP="00A263C2">
    <w:pPr>
      <w:pStyle w:val="Header"/>
      <w:jc w:val="center"/>
    </w:pPr>
    <w:r>
      <w:rPr>
        <w:noProof/>
      </w:rPr>
      <w:drawing>
        <wp:inline distT="0" distB="0" distL="0" distR="0" wp14:anchorId="01D98B19" wp14:editId="11B9EE90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6FD85542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270"/>
        </w:tabs>
        <w:ind w:left="63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E5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366E9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D3923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B4982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4DF1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35E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3627"/>
    <w:rsid w:val="00495909"/>
    <w:rsid w:val="004A0BC5"/>
    <w:rsid w:val="004A63C5"/>
    <w:rsid w:val="004A6A43"/>
    <w:rsid w:val="004B490F"/>
    <w:rsid w:val="004C156E"/>
    <w:rsid w:val="004C31BB"/>
    <w:rsid w:val="004C37EF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15D46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A558B"/>
    <w:rsid w:val="006B71AC"/>
    <w:rsid w:val="006C0BAF"/>
    <w:rsid w:val="006C1EAE"/>
    <w:rsid w:val="006C222C"/>
    <w:rsid w:val="006C28ED"/>
    <w:rsid w:val="006C2D3C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2E4"/>
    <w:rsid w:val="00751EF5"/>
    <w:rsid w:val="00753120"/>
    <w:rsid w:val="00753588"/>
    <w:rsid w:val="00755D36"/>
    <w:rsid w:val="00761680"/>
    <w:rsid w:val="00761D77"/>
    <w:rsid w:val="00762CC5"/>
    <w:rsid w:val="00770487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4825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263C2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55D6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4CB2"/>
    <w:rsid w:val="00B05C2C"/>
    <w:rsid w:val="00B12E03"/>
    <w:rsid w:val="00B23600"/>
    <w:rsid w:val="00B27FCE"/>
    <w:rsid w:val="00B30074"/>
    <w:rsid w:val="00B31C44"/>
    <w:rsid w:val="00B331EE"/>
    <w:rsid w:val="00B34F04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97F1E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0CE5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1BCB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17F5D"/>
    <w:rsid w:val="00F2001F"/>
    <w:rsid w:val="00F23B03"/>
    <w:rsid w:val="00F2557E"/>
    <w:rsid w:val="00F27CDA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28BB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89A4F"/>
  <w15:chartTrackingRefBased/>
  <w15:docId w15:val="{85CAD165-5485-4C3D-AB4F-690A18E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87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AA55D6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AA55D6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AA55D6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AA55D6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AA55D6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AA55D6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AA55D6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AA55D6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AA55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A55D6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AA55D6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AA55D6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tabs>
        <w:tab w:val="clear" w:pos="270"/>
        <w:tab w:val="num" w:pos="360"/>
      </w:tabs>
      <w:spacing w:after="200"/>
      <w:ind w:left="72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D80CE5"/>
    <w:pPr>
      <w:widowControl w:val="0"/>
      <w:autoSpaceDE w:val="0"/>
      <w:autoSpaceDN w:val="0"/>
      <w:spacing w:after="0"/>
      <w:ind w:left="840"/>
    </w:pPr>
    <w:rPr>
      <w:rFonts w:eastAsia="Arial"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D80CE5"/>
    <w:rPr>
      <w:rFonts w:ascii="Arial" w:eastAsia="Arial" w:hAnsi="Arial" w:cs="Arial"/>
      <w:kern w:val="0"/>
    </w:rPr>
  </w:style>
  <w:style w:type="character" w:styleId="PlaceholderText">
    <w:name w:val="Placeholder Text"/>
    <w:basedOn w:val="DefaultParagraphFont"/>
    <w:uiPriority w:val="99"/>
    <w:semiHidden/>
    <w:rsid w:val="007704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D2DDC-16C5-40DC-ADB0-18262716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47</TotalTime>
  <Pages>2</Pages>
  <Words>594</Words>
  <Characters>3386</Characters>
  <Application>Microsoft Office Word</Application>
  <DocSecurity>0</DocSecurity>
  <PresentationFormat>15|.DOCX</PresentationFormat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5202 Unlawful Discrimination, Harassment, and Retaliation Against Students (01773903).DOCX</vt:lpstr>
    </vt:vector>
  </TitlesOfParts>
  <Company>Thrun Law Firm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5202 Unlawful Discrimination, Harassment, and Retaliation Against Students (01773903).DOCX</dc:title>
  <dc:subject/>
  <dc:creator>Rachel E. Hewitt</dc:creator>
  <cp:keywords/>
  <dc:description/>
  <cp:lastModifiedBy>MICHELLE MUNYON</cp:lastModifiedBy>
  <cp:revision>11</cp:revision>
  <cp:lastPrinted>2021-06-02T17:40:00Z</cp:lastPrinted>
  <dcterms:created xsi:type="dcterms:W3CDTF">2023-06-23T13:29:00Z</dcterms:created>
  <dcterms:modified xsi:type="dcterms:W3CDTF">2025-02-25T20:14:00Z</dcterms:modified>
</cp:coreProperties>
</file>