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F0859" w14:textId="77777777" w:rsidR="001939A0" w:rsidRPr="00533AF3" w:rsidRDefault="001939A0" w:rsidP="00533AF3">
      <w:pPr>
        <w:pStyle w:val="Heading1"/>
      </w:pPr>
      <w:r w:rsidRPr="00533AF3">
        <w:t>Series 4000: District Employment</w:t>
      </w:r>
    </w:p>
    <w:p w14:paraId="6B002582" w14:textId="77777777" w:rsidR="001939A0" w:rsidRPr="00533AF3" w:rsidRDefault="001939A0" w:rsidP="00533AF3">
      <w:pPr>
        <w:pStyle w:val="Heading2"/>
      </w:pPr>
      <w:r w:rsidRPr="00533AF3">
        <w:t>4</w:t>
      </w:r>
      <w:r w:rsidR="00533AF3" w:rsidRPr="00533AF3">
        <w:t>100</w:t>
      </w:r>
      <w:r w:rsidR="00533AF3" w:rsidRPr="00533AF3">
        <w:tab/>
      </w:r>
      <w:r w:rsidRPr="00533AF3">
        <w:t>Employee Rights and Responsibilities</w:t>
      </w:r>
    </w:p>
    <w:p w14:paraId="7FABCAA2" w14:textId="12FB2226" w:rsidR="001C1EC8" w:rsidRPr="00533AF3" w:rsidRDefault="001939A0" w:rsidP="00533AF3">
      <w:pPr>
        <w:pStyle w:val="Heading3"/>
      </w:pPr>
      <w:r w:rsidRPr="00533AF3">
        <w:t>4104</w:t>
      </w:r>
      <w:r w:rsidR="00533AF3" w:rsidRPr="00533AF3">
        <w:tab/>
      </w:r>
      <w:r w:rsidRPr="00533AF3">
        <w:t>Employment Complaint Procedure</w:t>
      </w:r>
      <w:r w:rsidR="001964F0">
        <w:t xml:space="preserve"> for Allegations Implicating Civil Rights</w:t>
      </w:r>
    </w:p>
    <w:p w14:paraId="7C89A3F5" w14:textId="7A904436" w:rsidR="001939A0" w:rsidRDefault="001939A0" w:rsidP="001939A0">
      <w:pPr>
        <w:pStyle w:val="PolicyBody"/>
      </w:pPr>
      <w:r>
        <w:t xml:space="preserve">This employment complaint procedure </w:t>
      </w:r>
      <w:r w:rsidR="001964F0">
        <w:t xml:space="preserve">for allegations implicating an employee’s civil rights </w:t>
      </w:r>
      <w:r>
        <w:t>is designed to facilitate: (1) prompt notification of alleged</w:t>
      </w:r>
      <w:r>
        <w:rPr>
          <w:spacing w:val="-14"/>
        </w:rPr>
        <w:t xml:space="preserve"> </w:t>
      </w:r>
      <w:r w:rsidR="001964F0">
        <w:t>U</w:t>
      </w:r>
      <w:r>
        <w:t>nlawful</w:t>
      </w:r>
      <w:r>
        <w:rPr>
          <w:spacing w:val="-15"/>
        </w:rPr>
        <w:t xml:space="preserve"> </w:t>
      </w:r>
      <w:r w:rsidR="001964F0">
        <w:t>D</w:t>
      </w:r>
      <w:r>
        <w:t>iscrimination,</w:t>
      </w:r>
      <w:r>
        <w:rPr>
          <w:spacing w:val="-15"/>
        </w:rPr>
        <w:t xml:space="preserve"> </w:t>
      </w:r>
      <w:r>
        <w:t>including</w:t>
      </w:r>
      <w:r>
        <w:rPr>
          <w:spacing w:val="-15"/>
        </w:rPr>
        <w:t xml:space="preserve"> </w:t>
      </w:r>
      <w:r>
        <w:t>unlawful</w:t>
      </w:r>
      <w:r>
        <w:rPr>
          <w:spacing w:val="-11"/>
        </w:rPr>
        <w:t xml:space="preserve"> </w:t>
      </w:r>
      <w:r>
        <w:t>harassment</w:t>
      </w:r>
      <w:r>
        <w:rPr>
          <w:spacing w:val="-16"/>
        </w:rPr>
        <w:t xml:space="preserve"> </w:t>
      </w:r>
      <w:r>
        <w:t>and</w:t>
      </w:r>
      <w:r>
        <w:rPr>
          <w:spacing w:val="-13"/>
        </w:rPr>
        <w:t xml:space="preserve"> </w:t>
      </w:r>
      <w:r w:rsidR="001964F0">
        <w:t>R</w:t>
      </w:r>
      <w:r>
        <w:t>etaliation;</w:t>
      </w:r>
      <w:r>
        <w:rPr>
          <w:spacing w:val="-11"/>
        </w:rPr>
        <w:t xml:space="preserve"> </w:t>
      </w:r>
      <w:r>
        <w:t>(2) a</w:t>
      </w:r>
      <w:r>
        <w:rPr>
          <w:spacing w:val="-10"/>
        </w:rPr>
        <w:t xml:space="preserve"> </w:t>
      </w:r>
      <w:r>
        <w:t>prompt</w:t>
      </w:r>
      <w:r>
        <w:rPr>
          <w:spacing w:val="-12"/>
        </w:rPr>
        <w:t xml:space="preserve"> </w:t>
      </w:r>
      <w:r>
        <w:t>and</w:t>
      </w:r>
      <w:r>
        <w:rPr>
          <w:spacing w:val="-6"/>
        </w:rPr>
        <w:t xml:space="preserve"> </w:t>
      </w:r>
      <w:r>
        <w:t>thorough</w:t>
      </w:r>
      <w:r>
        <w:rPr>
          <w:spacing w:val="-8"/>
        </w:rPr>
        <w:t xml:space="preserve"> </w:t>
      </w:r>
      <w:r>
        <w:t>investigation</w:t>
      </w:r>
      <w:r>
        <w:rPr>
          <w:spacing w:val="-10"/>
        </w:rPr>
        <w:t xml:space="preserve"> </w:t>
      </w:r>
      <w:r>
        <w:t>of</w:t>
      </w:r>
      <w:r>
        <w:rPr>
          <w:spacing w:val="-5"/>
        </w:rPr>
        <w:t xml:space="preserve"> </w:t>
      </w:r>
      <w:r>
        <w:t>good</w:t>
      </w:r>
      <w:r>
        <w:rPr>
          <w:spacing w:val="-9"/>
        </w:rPr>
        <w:t xml:space="preserve"> </w:t>
      </w:r>
      <w:r>
        <w:t>faith</w:t>
      </w:r>
      <w:r>
        <w:rPr>
          <w:spacing w:val="-8"/>
        </w:rPr>
        <w:t xml:space="preserve"> </w:t>
      </w:r>
      <w:r>
        <w:t>allegations;</w:t>
      </w:r>
      <w:r>
        <w:rPr>
          <w:spacing w:val="-11"/>
        </w:rPr>
        <w:t xml:space="preserve"> </w:t>
      </w:r>
      <w:r>
        <w:t>and</w:t>
      </w:r>
      <w:r>
        <w:rPr>
          <w:spacing w:val="-8"/>
        </w:rPr>
        <w:t xml:space="preserve"> </w:t>
      </w:r>
      <w:r>
        <w:t>(3)</w:t>
      </w:r>
      <w:r>
        <w:rPr>
          <w:spacing w:val="-12"/>
        </w:rPr>
        <w:t xml:space="preserve"> </w:t>
      </w:r>
      <w:r>
        <w:t>the</w:t>
      </w:r>
      <w:r>
        <w:rPr>
          <w:spacing w:val="-9"/>
        </w:rPr>
        <w:t xml:space="preserve"> </w:t>
      </w:r>
      <w:r>
        <w:t>implementation of</w:t>
      </w:r>
      <w:r>
        <w:rPr>
          <w:spacing w:val="-13"/>
        </w:rPr>
        <w:t xml:space="preserve"> </w:t>
      </w:r>
      <w:r>
        <w:t>appropriate</w:t>
      </w:r>
      <w:r>
        <w:rPr>
          <w:spacing w:val="-12"/>
        </w:rPr>
        <w:t xml:space="preserve"> </w:t>
      </w:r>
      <w:r>
        <w:t>corrective</w:t>
      </w:r>
      <w:r>
        <w:rPr>
          <w:spacing w:val="-13"/>
        </w:rPr>
        <w:t xml:space="preserve"> </w:t>
      </w:r>
      <w:r>
        <w:t>action,</w:t>
      </w:r>
      <w:r>
        <w:rPr>
          <w:spacing w:val="-15"/>
        </w:rPr>
        <w:t xml:space="preserve"> </w:t>
      </w:r>
      <w:r>
        <w:t>if</w:t>
      </w:r>
      <w:r>
        <w:rPr>
          <w:spacing w:val="-10"/>
        </w:rPr>
        <w:t xml:space="preserve"> </w:t>
      </w:r>
      <w:r>
        <w:rPr>
          <w:spacing w:val="-3"/>
        </w:rPr>
        <w:t>necessary,</w:t>
      </w:r>
      <w:r>
        <w:rPr>
          <w:spacing w:val="-13"/>
        </w:rPr>
        <w:t xml:space="preserve"> </w:t>
      </w:r>
      <w:r>
        <w:t>to</w:t>
      </w:r>
      <w:r>
        <w:rPr>
          <w:spacing w:val="-10"/>
        </w:rPr>
        <w:t xml:space="preserve"> </w:t>
      </w:r>
      <w:r>
        <w:t>eliminate</w:t>
      </w:r>
      <w:r>
        <w:rPr>
          <w:spacing w:val="-13"/>
        </w:rPr>
        <w:t xml:space="preserve"> </w:t>
      </w:r>
      <w:r>
        <w:t>verified,</w:t>
      </w:r>
      <w:r>
        <w:rPr>
          <w:spacing w:val="-13"/>
        </w:rPr>
        <w:t xml:space="preserve"> </w:t>
      </w:r>
      <w:r w:rsidR="001964F0">
        <w:t>U</w:t>
      </w:r>
      <w:r>
        <w:t>nlawful</w:t>
      </w:r>
      <w:r>
        <w:rPr>
          <w:spacing w:val="-11"/>
        </w:rPr>
        <w:t xml:space="preserve"> </w:t>
      </w:r>
      <w:r w:rsidR="001964F0">
        <w:t>D</w:t>
      </w:r>
      <w:r>
        <w:t>iscrimination</w:t>
      </w:r>
      <w:r w:rsidR="001964F0">
        <w:t xml:space="preserve">, harassment, </w:t>
      </w:r>
      <w:r>
        <w:t xml:space="preserve">and </w:t>
      </w:r>
      <w:r w:rsidR="001964F0">
        <w:t>R</w:t>
      </w:r>
      <w:r>
        <w:t>etaliation from the</w:t>
      </w:r>
      <w:r>
        <w:rPr>
          <w:spacing w:val="-2"/>
        </w:rPr>
        <w:t xml:space="preserve"> </w:t>
      </w:r>
      <w:r>
        <w:t>workplace.</w:t>
      </w:r>
    </w:p>
    <w:p w14:paraId="4763D8A0" w14:textId="77777777" w:rsidR="001939A0" w:rsidRPr="001939A0" w:rsidRDefault="001939A0" w:rsidP="001939A0">
      <w:pPr>
        <w:pStyle w:val="Level1"/>
      </w:pPr>
      <w:r>
        <w:rPr>
          <w:position w:val="1"/>
        </w:rPr>
        <w:t>Initiating a</w:t>
      </w:r>
      <w:r>
        <w:rPr>
          <w:spacing w:val="-3"/>
          <w:position w:val="1"/>
        </w:rPr>
        <w:t xml:space="preserve"> </w:t>
      </w:r>
      <w:r>
        <w:rPr>
          <w:position w:val="1"/>
        </w:rPr>
        <w:t>Complaint</w:t>
      </w:r>
    </w:p>
    <w:p w14:paraId="5C7A5E3F" w14:textId="50E2163C" w:rsidR="001939A0" w:rsidRDefault="001939A0" w:rsidP="001939A0">
      <w:pPr>
        <w:pStyle w:val="Level2"/>
      </w:pPr>
      <w:r>
        <w:t>A</w:t>
      </w:r>
      <w:r>
        <w:rPr>
          <w:spacing w:val="-30"/>
        </w:rPr>
        <w:t xml:space="preserve"> </w:t>
      </w:r>
      <w:r>
        <w:t>Board</w:t>
      </w:r>
      <w:r>
        <w:rPr>
          <w:spacing w:val="-18"/>
        </w:rPr>
        <w:t xml:space="preserve"> </w:t>
      </w:r>
      <w:r>
        <w:rPr>
          <w:spacing w:val="-3"/>
        </w:rPr>
        <w:t>member,</w:t>
      </w:r>
      <w:r>
        <w:rPr>
          <w:spacing w:val="-18"/>
        </w:rPr>
        <w:t xml:space="preserve"> </w:t>
      </w:r>
      <w:r>
        <w:t>employee,</w:t>
      </w:r>
      <w:r>
        <w:rPr>
          <w:spacing w:val="-14"/>
        </w:rPr>
        <w:t xml:space="preserve"> </w:t>
      </w:r>
      <w:r>
        <w:t>or</w:t>
      </w:r>
      <w:r>
        <w:rPr>
          <w:spacing w:val="-19"/>
        </w:rPr>
        <w:t xml:space="preserve"> </w:t>
      </w:r>
      <w:r>
        <w:t>employment</w:t>
      </w:r>
      <w:r>
        <w:rPr>
          <w:spacing w:val="-16"/>
        </w:rPr>
        <w:t xml:space="preserve"> </w:t>
      </w:r>
      <w:r>
        <w:t>applicant</w:t>
      </w:r>
      <w:r>
        <w:rPr>
          <w:spacing w:val="-18"/>
        </w:rPr>
        <w:t xml:space="preserve"> </w:t>
      </w:r>
      <w:r>
        <w:t>who</w:t>
      </w:r>
      <w:r>
        <w:rPr>
          <w:spacing w:val="-16"/>
        </w:rPr>
        <w:t xml:space="preserve"> </w:t>
      </w:r>
      <w:r>
        <w:t>believes</w:t>
      </w:r>
      <w:r>
        <w:rPr>
          <w:spacing w:val="-16"/>
        </w:rPr>
        <w:t xml:space="preserve"> </w:t>
      </w:r>
      <w:r>
        <w:t>he/she</w:t>
      </w:r>
      <w:r>
        <w:rPr>
          <w:spacing w:val="-16"/>
        </w:rPr>
        <w:t xml:space="preserve"> </w:t>
      </w:r>
      <w:r>
        <w:t xml:space="preserve">has been the subject of </w:t>
      </w:r>
      <w:r w:rsidR="001964F0">
        <w:t>U</w:t>
      </w:r>
      <w:r>
        <w:t xml:space="preserve">nlawful </w:t>
      </w:r>
      <w:r w:rsidR="001964F0">
        <w:t>D</w:t>
      </w:r>
      <w:r>
        <w:t>iscrimination</w:t>
      </w:r>
      <w:r w:rsidR="001964F0">
        <w:t>,</w:t>
      </w:r>
      <w:r>
        <w:t xml:space="preserve"> harassment, or </w:t>
      </w:r>
      <w:r w:rsidR="001964F0">
        <w:t>R</w:t>
      </w:r>
      <w:r>
        <w:t xml:space="preserve">etaliation must timely file a complaint, preferably </w:t>
      </w:r>
      <w:r w:rsidRPr="001939A0">
        <w:t>within</w:t>
      </w:r>
      <w:r>
        <w:t xml:space="preserve"> 10 business days of the alleged or suspected violation or when the reporter obtained knowledge of the alleged or suspected violation,</w:t>
      </w:r>
      <w:r>
        <w:rPr>
          <w:spacing w:val="1"/>
        </w:rPr>
        <w:t xml:space="preserve"> </w:t>
      </w:r>
      <w:r>
        <w:t>with</w:t>
      </w:r>
      <w:r w:rsidR="001964F0">
        <w:t xml:space="preserve"> the Employment Compliance Officer or applicable coordinator listed in Policy 3115B</w:t>
      </w:r>
    </w:p>
    <w:p w14:paraId="5176F96F" w14:textId="1D338DDD" w:rsidR="00F31693" w:rsidRPr="00286210" w:rsidRDefault="00F31693" w:rsidP="00F31693">
      <w:pPr>
        <w:pStyle w:val="Level2"/>
      </w:pPr>
      <w:r>
        <w:rPr>
          <w:position w:val="1"/>
        </w:rPr>
        <w:t xml:space="preserve">A complaint of </w:t>
      </w:r>
      <w:r w:rsidR="001964F0">
        <w:rPr>
          <w:position w:val="1"/>
        </w:rPr>
        <w:t>Unlawful D</w:t>
      </w:r>
      <w:r>
        <w:rPr>
          <w:position w:val="1"/>
        </w:rPr>
        <w:t xml:space="preserve">iscrimination, including harassment, or </w:t>
      </w:r>
      <w:r w:rsidR="001964F0">
        <w:rPr>
          <w:position w:val="1"/>
        </w:rPr>
        <w:t>R</w:t>
      </w:r>
      <w:r>
        <w:rPr>
          <w:position w:val="1"/>
        </w:rPr>
        <w:t xml:space="preserve">etaliation, </w:t>
      </w:r>
      <w:r>
        <w:t>may</w:t>
      </w:r>
      <w:r>
        <w:rPr>
          <w:spacing w:val="-18"/>
        </w:rPr>
        <w:t xml:space="preserve"> </w:t>
      </w:r>
      <w:r>
        <w:t>be</w:t>
      </w:r>
      <w:r>
        <w:rPr>
          <w:spacing w:val="-20"/>
        </w:rPr>
        <w:t xml:space="preserve"> </w:t>
      </w:r>
      <w:r>
        <w:t>made</w:t>
      </w:r>
      <w:r>
        <w:rPr>
          <w:spacing w:val="-18"/>
        </w:rPr>
        <w:t xml:space="preserve"> </w:t>
      </w:r>
      <w:r>
        <w:t>verbally</w:t>
      </w:r>
      <w:r>
        <w:rPr>
          <w:spacing w:val="-20"/>
        </w:rPr>
        <w:t xml:space="preserve"> </w:t>
      </w:r>
      <w:r>
        <w:t>or</w:t>
      </w:r>
      <w:r>
        <w:rPr>
          <w:spacing w:val="-18"/>
        </w:rPr>
        <w:t xml:space="preserve"> </w:t>
      </w:r>
      <w:r>
        <w:t>in</w:t>
      </w:r>
      <w:r>
        <w:rPr>
          <w:spacing w:val="-18"/>
        </w:rPr>
        <w:t xml:space="preserve"> </w:t>
      </w:r>
      <w:r>
        <w:t>writing.</w:t>
      </w:r>
      <w:r>
        <w:rPr>
          <w:spacing w:val="-19"/>
        </w:rPr>
        <w:t xml:space="preserve"> </w:t>
      </w:r>
      <w:r>
        <w:t>The</w:t>
      </w:r>
      <w:r>
        <w:rPr>
          <w:spacing w:val="-14"/>
        </w:rPr>
        <w:t xml:space="preserve"> </w:t>
      </w:r>
      <w:r>
        <w:t>complaint</w:t>
      </w:r>
      <w:r>
        <w:rPr>
          <w:spacing w:val="-17"/>
        </w:rPr>
        <w:t xml:space="preserve"> </w:t>
      </w:r>
      <w:r>
        <w:t>will</w:t>
      </w:r>
      <w:r>
        <w:rPr>
          <w:spacing w:val="-20"/>
        </w:rPr>
        <w:t xml:space="preserve"> </w:t>
      </w:r>
      <w:r>
        <w:t>be</w:t>
      </w:r>
      <w:r>
        <w:rPr>
          <w:spacing w:val="-18"/>
        </w:rPr>
        <w:t xml:space="preserve"> </w:t>
      </w:r>
      <w:r>
        <w:t>memorialized</w:t>
      </w:r>
      <w:r>
        <w:rPr>
          <w:spacing w:val="-18"/>
        </w:rPr>
        <w:t xml:space="preserve"> </w:t>
      </w:r>
      <w:r>
        <w:t>on</w:t>
      </w:r>
      <w:r>
        <w:rPr>
          <w:spacing w:val="-19"/>
        </w:rPr>
        <w:t xml:space="preserve"> </w:t>
      </w:r>
      <w:r>
        <w:t xml:space="preserve">Form </w:t>
      </w:r>
      <w:r w:rsidR="001964F0">
        <w:rPr>
          <w:spacing w:val="-5"/>
        </w:rPr>
        <w:t>3115-F-1</w:t>
      </w:r>
      <w:r>
        <w:rPr>
          <w:spacing w:val="-5"/>
        </w:rPr>
        <w:t>.</w:t>
      </w:r>
    </w:p>
    <w:p w14:paraId="5DD618B2" w14:textId="00C8899C" w:rsidR="00286210" w:rsidRPr="00F31693" w:rsidRDefault="00286210" w:rsidP="00F31693">
      <w:pPr>
        <w:pStyle w:val="Level2"/>
      </w:pPr>
      <w:r>
        <w:rPr>
          <w:spacing w:val="-5"/>
        </w:rPr>
        <w:t xml:space="preserve">A complaint alleging Title IX sexual harassment must be in writing. Policy 3118 governs the Title IX sexual harassment complaint procedures. </w:t>
      </w:r>
    </w:p>
    <w:p w14:paraId="5C4BF848" w14:textId="77777777" w:rsidR="00F31693" w:rsidRPr="00F31693" w:rsidRDefault="00F31693" w:rsidP="00F31693">
      <w:pPr>
        <w:pStyle w:val="Level1"/>
      </w:pPr>
      <w:r>
        <w:t>Investigation</w:t>
      </w:r>
      <w:r>
        <w:rPr>
          <w:spacing w:val="2"/>
        </w:rPr>
        <w:t xml:space="preserve"> </w:t>
      </w:r>
      <w:r>
        <w:t>Procedures</w:t>
      </w:r>
    </w:p>
    <w:p w14:paraId="5DC9BDA2" w14:textId="2853C332" w:rsidR="00F31693" w:rsidRDefault="00F31693" w:rsidP="001964F0">
      <w:pPr>
        <w:pStyle w:val="Level2"/>
        <w:numPr>
          <w:ilvl w:val="0"/>
          <w:numId w:val="0"/>
        </w:numPr>
        <w:ind w:left="720"/>
      </w:pPr>
      <w:r>
        <w:rPr>
          <w:position w:val="1"/>
        </w:rPr>
        <w:t xml:space="preserve">A written or verbal report (including an anonymous report) of </w:t>
      </w:r>
      <w:r w:rsidR="001964F0">
        <w:rPr>
          <w:position w:val="1"/>
        </w:rPr>
        <w:t>Unlawful D</w:t>
      </w:r>
      <w:r>
        <w:rPr>
          <w:position w:val="1"/>
        </w:rPr>
        <w:t xml:space="preserve">iscrimination, </w:t>
      </w:r>
      <w:r w:rsidR="001964F0">
        <w:t xml:space="preserve">including </w:t>
      </w:r>
      <w:r>
        <w:t xml:space="preserve">harassment or </w:t>
      </w:r>
      <w:r w:rsidR="001964F0">
        <w:t>R</w:t>
      </w:r>
      <w:r>
        <w:t>etaliation will be investigated promptly and thoroughly</w:t>
      </w:r>
      <w:r w:rsidR="001964F0">
        <w:t xml:space="preserve"> using </w:t>
      </w:r>
      <w:r>
        <w:t>the</w:t>
      </w:r>
      <w:r>
        <w:rPr>
          <w:spacing w:val="-13"/>
        </w:rPr>
        <w:t xml:space="preserve"> </w:t>
      </w:r>
      <w:r w:rsidR="001964F0">
        <w:t>Grievance Procedure outlined in Policy 3115E, unless</w:t>
      </w:r>
      <w:r>
        <w:rPr>
          <w:spacing w:val="-7"/>
        </w:rPr>
        <w:t xml:space="preserve"> </w:t>
      </w:r>
      <w:r>
        <w:t xml:space="preserve">the Complaint is </w:t>
      </w:r>
      <w:r w:rsidR="001964F0">
        <w:t xml:space="preserve">dismissed pursuant to Policy 3115F or informal resolution </w:t>
      </w:r>
      <w:r>
        <w:t xml:space="preserve">is </w:t>
      </w:r>
      <w:r w:rsidR="001964F0">
        <w:t>reached pursuant to Policy 3115D.</w:t>
      </w:r>
    </w:p>
    <w:p w14:paraId="30741E5F" w14:textId="44EE0392" w:rsidR="00286210" w:rsidRDefault="00286210" w:rsidP="001964F0">
      <w:pPr>
        <w:pStyle w:val="Level2"/>
        <w:numPr>
          <w:ilvl w:val="0"/>
          <w:numId w:val="0"/>
        </w:numPr>
        <w:ind w:left="720"/>
      </w:pPr>
      <w:r>
        <w:t>A complaint alleging Title IX sexual harassment will be investigated pursuant to the process set forth in Policy 3118.</w:t>
      </w:r>
    </w:p>
    <w:p w14:paraId="03A0F358" w14:textId="77777777" w:rsidR="00F31693" w:rsidRPr="00F31693" w:rsidRDefault="00F31693" w:rsidP="00F31693">
      <w:pPr>
        <w:pStyle w:val="Level1"/>
      </w:pPr>
      <w:r>
        <w:rPr>
          <w:position w:val="1"/>
        </w:rPr>
        <w:t>Reports to State or Federal Administrative</w:t>
      </w:r>
      <w:r>
        <w:rPr>
          <w:spacing w:val="-34"/>
          <w:position w:val="1"/>
        </w:rPr>
        <w:t xml:space="preserve"> </w:t>
      </w:r>
      <w:r>
        <w:rPr>
          <w:position w:val="1"/>
        </w:rPr>
        <w:t>Agencies</w:t>
      </w:r>
    </w:p>
    <w:p w14:paraId="50A4207A" w14:textId="2B1C794E" w:rsidR="00F31693" w:rsidRDefault="00F31693" w:rsidP="00F31693">
      <w:pPr>
        <w:pStyle w:val="Level1sub"/>
      </w:pPr>
      <w:r>
        <w:t xml:space="preserve">Any person who believes that he/she was the victim of </w:t>
      </w:r>
      <w:r w:rsidR="001964F0">
        <w:t>Unlawful D</w:t>
      </w:r>
      <w:r>
        <w:t xml:space="preserve">iscrimination, including unlawful harassment, or </w:t>
      </w:r>
      <w:r w:rsidR="001964F0">
        <w:t>R</w:t>
      </w:r>
      <w:r>
        <w:t>etaliation may file a complaint with the Michigan Department of Civil Rights (MDCR) or the Equal Employment Opportunity Commission (EEOC) at any time:</w:t>
      </w:r>
    </w:p>
    <w:p w14:paraId="437EDA49" w14:textId="77777777" w:rsidR="00F31693" w:rsidRDefault="00F31693" w:rsidP="00F31693">
      <w:pPr>
        <w:pStyle w:val="Level1sub"/>
        <w:spacing w:after="0"/>
        <w:jc w:val="center"/>
      </w:pPr>
      <w:r>
        <w:t>Michigan Department of Civil Rights Capitol Tower Building</w:t>
      </w:r>
    </w:p>
    <w:p w14:paraId="748906EC" w14:textId="77777777" w:rsidR="00F31693" w:rsidRDefault="00F31693" w:rsidP="00F31693">
      <w:pPr>
        <w:pStyle w:val="Level1sub"/>
        <w:spacing w:after="0"/>
        <w:jc w:val="center"/>
      </w:pPr>
      <w:r>
        <w:t>110 W. Michigan Avenue, Suite 800</w:t>
      </w:r>
    </w:p>
    <w:p w14:paraId="47DB74DC" w14:textId="77777777" w:rsidR="00F31693" w:rsidRDefault="00F31693" w:rsidP="00F31693">
      <w:pPr>
        <w:pStyle w:val="Level1sub"/>
        <w:spacing w:after="0"/>
        <w:jc w:val="center"/>
      </w:pPr>
      <w:r>
        <w:lastRenderedPageBreak/>
        <w:t>Lansing, MI 48933</w:t>
      </w:r>
    </w:p>
    <w:p w14:paraId="491EEFC4" w14:textId="77777777" w:rsidR="00F31693" w:rsidRDefault="00F31693" w:rsidP="00F31693">
      <w:pPr>
        <w:pStyle w:val="Level1sub"/>
        <w:spacing w:after="0"/>
        <w:jc w:val="center"/>
      </w:pPr>
      <w:r>
        <w:t>Phone: 517-335-3165</w:t>
      </w:r>
    </w:p>
    <w:p w14:paraId="42E115DC" w14:textId="77777777" w:rsidR="00F31693" w:rsidRDefault="00F31693" w:rsidP="00F31693">
      <w:pPr>
        <w:pStyle w:val="Level1sub"/>
        <w:spacing w:after="0"/>
        <w:jc w:val="center"/>
      </w:pPr>
      <w:r>
        <w:t>Fax:</w:t>
      </w:r>
      <w:r>
        <w:rPr>
          <w:spacing w:val="-7"/>
        </w:rPr>
        <w:t xml:space="preserve"> </w:t>
      </w:r>
      <w:r>
        <w:t>517-241-0546</w:t>
      </w:r>
    </w:p>
    <w:p w14:paraId="501062BA" w14:textId="77777777" w:rsidR="00F31693" w:rsidRDefault="00F31693" w:rsidP="00F31693">
      <w:pPr>
        <w:pStyle w:val="Level1sub"/>
        <w:spacing w:after="0"/>
        <w:jc w:val="center"/>
      </w:pPr>
      <w:r>
        <w:rPr>
          <w:spacing w:val="-4"/>
        </w:rPr>
        <w:t>TTY:</w:t>
      </w:r>
      <w:r>
        <w:rPr>
          <w:spacing w:val="-7"/>
        </w:rPr>
        <w:t xml:space="preserve"> </w:t>
      </w:r>
      <w:r>
        <w:t>517-241-1965</w:t>
      </w:r>
    </w:p>
    <w:p w14:paraId="1FA85031" w14:textId="77777777" w:rsidR="00F31693" w:rsidRDefault="00F31693" w:rsidP="00F31693">
      <w:pPr>
        <w:pStyle w:val="Level1sub"/>
        <w:spacing w:after="240"/>
        <w:jc w:val="center"/>
      </w:pPr>
      <w:r>
        <w:t xml:space="preserve">Email: </w:t>
      </w:r>
      <w:hyperlink r:id="rId8">
        <w:r>
          <w:t>MDCR-INFO@michigan.gov</w:t>
        </w:r>
      </w:hyperlink>
    </w:p>
    <w:p w14:paraId="17191A61" w14:textId="77777777" w:rsidR="00F31693" w:rsidRDefault="00F31693" w:rsidP="00F31693">
      <w:pPr>
        <w:pStyle w:val="Level1sub"/>
        <w:spacing w:after="0"/>
        <w:jc w:val="center"/>
      </w:pPr>
      <w:r>
        <w:t>Equal Employment Opportunity Commission Patrick V. McNamara Building</w:t>
      </w:r>
    </w:p>
    <w:p w14:paraId="3915C604" w14:textId="77777777" w:rsidR="00F31693" w:rsidRDefault="00F31693" w:rsidP="00F31693">
      <w:pPr>
        <w:pStyle w:val="Level1sub"/>
        <w:spacing w:after="0"/>
        <w:jc w:val="center"/>
      </w:pPr>
      <w:r>
        <w:t>477 Michigan Avenue - Room 865</w:t>
      </w:r>
    </w:p>
    <w:p w14:paraId="135A6BEF" w14:textId="77777777" w:rsidR="00F31693" w:rsidRDefault="00F31693" w:rsidP="00F31693">
      <w:pPr>
        <w:pStyle w:val="Level1sub"/>
        <w:spacing w:after="0"/>
        <w:jc w:val="center"/>
      </w:pPr>
      <w:r>
        <w:t>Detroit, MI 48226</w:t>
      </w:r>
    </w:p>
    <w:p w14:paraId="0EEB798F" w14:textId="77777777" w:rsidR="00F31693" w:rsidRDefault="00F31693" w:rsidP="00F31693">
      <w:pPr>
        <w:pStyle w:val="Level1sub"/>
        <w:spacing w:after="0"/>
        <w:jc w:val="center"/>
      </w:pPr>
      <w:r>
        <w:t>Phone: 800-669-4000</w:t>
      </w:r>
    </w:p>
    <w:p w14:paraId="7AA30C3B" w14:textId="77777777" w:rsidR="00F31693" w:rsidRDefault="00F31693" w:rsidP="00F31693">
      <w:pPr>
        <w:pStyle w:val="Level1sub"/>
        <w:spacing w:after="0"/>
        <w:jc w:val="center"/>
      </w:pPr>
      <w:r>
        <w:t>Fax:</w:t>
      </w:r>
      <w:r>
        <w:rPr>
          <w:spacing w:val="-7"/>
        </w:rPr>
        <w:t xml:space="preserve"> </w:t>
      </w:r>
      <w:r>
        <w:t>313-226-4610</w:t>
      </w:r>
    </w:p>
    <w:p w14:paraId="5C1936DB" w14:textId="77777777" w:rsidR="00F31693" w:rsidRDefault="00F31693" w:rsidP="00F31693">
      <w:pPr>
        <w:pStyle w:val="Level1sub"/>
        <w:spacing w:after="0"/>
        <w:jc w:val="center"/>
      </w:pPr>
      <w:r>
        <w:rPr>
          <w:spacing w:val="-4"/>
        </w:rPr>
        <w:t>TTY:</w:t>
      </w:r>
      <w:r>
        <w:rPr>
          <w:spacing w:val="-7"/>
        </w:rPr>
        <w:t xml:space="preserve"> </w:t>
      </w:r>
      <w:r>
        <w:t>800-669-6820</w:t>
      </w:r>
    </w:p>
    <w:p w14:paraId="4E5A607A" w14:textId="77777777" w:rsidR="00F31693" w:rsidRDefault="00F31693" w:rsidP="00F31693">
      <w:pPr>
        <w:pStyle w:val="Level1sub"/>
        <w:spacing w:after="240"/>
        <w:jc w:val="center"/>
      </w:pPr>
      <w:r>
        <w:t xml:space="preserve">Email: </w:t>
      </w:r>
      <w:hyperlink r:id="rId9">
        <w:r>
          <w:t>info@eeoc.gov</w:t>
        </w:r>
      </w:hyperlink>
    </w:p>
    <w:p w14:paraId="7C33F7E4" w14:textId="36E19C26" w:rsidR="00F31693" w:rsidRDefault="00F31693" w:rsidP="00F31693">
      <w:pPr>
        <w:pStyle w:val="Level1sub"/>
      </w:pPr>
      <w:r>
        <w:t xml:space="preserve">An agency complaint may be filed before, during, or after a complaint is filed with the </w:t>
      </w:r>
      <w:proofErr w:type="gramStart"/>
      <w:r>
        <w:t>District</w:t>
      </w:r>
      <w:proofErr w:type="gramEnd"/>
      <w:r>
        <w:t xml:space="preserve">, or a person may forego filing a complaint with the District and rely solely on the MDCR or EEOC. The </w:t>
      </w:r>
      <w:proofErr w:type="gramStart"/>
      <w:r>
        <w:t>District</w:t>
      </w:r>
      <w:proofErr w:type="gramEnd"/>
      <w:r>
        <w:t xml:space="preserve"> recommends that a person who has been subjected to </w:t>
      </w:r>
      <w:r w:rsidR="001964F0">
        <w:t>Unlawful D</w:t>
      </w:r>
      <w:r>
        <w:t xml:space="preserve">iscrimination, including unlawful harassment or </w:t>
      </w:r>
      <w:r w:rsidR="001964F0">
        <w:t>R</w:t>
      </w:r>
      <w:r>
        <w:t xml:space="preserve">etaliation, also file a complaint with the District to ensure that the District can take steps to prevent further </w:t>
      </w:r>
      <w:r w:rsidR="001964F0">
        <w:t>Unlawful D</w:t>
      </w:r>
      <w:r>
        <w:t xml:space="preserve">iscrimination, including unlawful harassment or </w:t>
      </w:r>
      <w:r w:rsidR="001964F0">
        <w:t>R</w:t>
      </w:r>
      <w:r>
        <w:t>etaliation and to discipline the Respondent, if appropriate. The MDCR and EEOC do not serve as an appellate body for District decisions. An investigation by the MDCR or EEOC will occur separately from any District investigation.</w:t>
      </w:r>
    </w:p>
    <w:p w14:paraId="70B9E248" w14:textId="061F5A6F" w:rsidR="00F31693" w:rsidRDefault="00F31693" w:rsidP="00F31693">
      <w:pPr>
        <w:pStyle w:val="Legal"/>
      </w:pPr>
      <w:r>
        <w:t>Legal</w:t>
      </w:r>
      <w:r>
        <w:rPr>
          <w:spacing w:val="-3"/>
        </w:rPr>
        <w:t xml:space="preserve"> </w:t>
      </w:r>
      <w:r>
        <w:t>authority:</w:t>
      </w:r>
      <w:r>
        <w:rPr>
          <w:spacing w:val="4"/>
        </w:rPr>
        <w:t xml:space="preserve"> </w:t>
      </w:r>
      <w:r>
        <w:t>U.S.</w:t>
      </w:r>
      <w:r>
        <w:rPr>
          <w:spacing w:val="-5"/>
        </w:rPr>
        <w:t xml:space="preserve"> CONST.</w:t>
      </w:r>
      <w:r>
        <w:rPr>
          <w:spacing w:val="-10"/>
        </w:rPr>
        <w:t xml:space="preserve"> </w:t>
      </w:r>
      <w:r>
        <w:t>amend.</w:t>
      </w:r>
      <w:r>
        <w:rPr>
          <w:spacing w:val="-7"/>
        </w:rPr>
        <w:t xml:space="preserve"> </w:t>
      </w:r>
      <w:r>
        <w:rPr>
          <w:spacing w:val="-3"/>
        </w:rPr>
        <w:t>XIV;</w:t>
      </w:r>
      <w:r>
        <w:rPr>
          <w:spacing w:val="-5"/>
        </w:rPr>
        <w:t xml:space="preserve"> </w:t>
      </w:r>
      <w:r>
        <w:t>20</w:t>
      </w:r>
      <w:r>
        <w:rPr>
          <w:spacing w:val="-6"/>
        </w:rPr>
        <w:t xml:space="preserve"> </w:t>
      </w:r>
      <w:r>
        <w:t>USC</w:t>
      </w:r>
      <w:r>
        <w:rPr>
          <w:spacing w:val="-10"/>
        </w:rPr>
        <w:t xml:space="preserve"> </w:t>
      </w:r>
      <w:r>
        <w:t>1681</w:t>
      </w:r>
      <w:r>
        <w:rPr>
          <w:spacing w:val="-7"/>
        </w:rPr>
        <w:t xml:space="preserve"> </w:t>
      </w:r>
      <w:r>
        <w:t>et</w:t>
      </w:r>
      <w:r>
        <w:rPr>
          <w:spacing w:val="-6"/>
        </w:rPr>
        <w:t xml:space="preserve"> </w:t>
      </w:r>
      <w:r>
        <w:t>seq.;</w:t>
      </w:r>
      <w:r>
        <w:rPr>
          <w:spacing w:val="-6"/>
        </w:rPr>
        <w:t xml:space="preserve"> </w:t>
      </w:r>
      <w:r>
        <w:t>29</w:t>
      </w:r>
      <w:r>
        <w:rPr>
          <w:spacing w:val="-5"/>
        </w:rPr>
        <w:t xml:space="preserve"> </w:t>
      </w:r>
      <w:r>
        <w:t>USC</w:t>
      </w:r>
      <w:r>
        <w:rPr>
          <w:spacing w:val="-8"/>
        </w:rPr>
        <w:t xml:space="preserve"> </w:t>
      </w:r>
      <w:r>
        <w:t>701</w:t>
      </w:r>
      <w:r>
        <w:rPr>
          <w:spacing w:val="-6"/>
        </w:rPr>
        <w:t xml:space="preserve"> </w:t>
      </w:r>
      <w:r>
        <w:t>et</w:t>
      </w:r>
      <w:r>
        <w:rPr>
          <w:spacing w:val="-8"/>
        </w:rPr>
        <w:t xml:space="preserve"> </w:t>
      </w:r>
      <w:r>
        <w:t>seq.;</w:t>
      </w:r>
      <w:r>
        <w:rPr>
          <w:spacing w:val="-7"/>
        </w:rPr>
        <w:t xml:space="preserve"> </w:t>
      </w:r>
      <w:r>
        <w:t>42 USC</w:t>
      </w:r>
      <w:r>
        <w:rPr>
          <w:spacing w:val="-8"/>
        </w:rPr>
        <w:t xml:space="preserve"> </w:t>
      </w:r>
      <w:r>
        <w:t>2000d</w:t>
      </w:r>
      <w:r>
        <w:rPr>
          <w:spacing w:val="-8"/>
        </w:rPr>
        <w:t xml:space="preserve"> </w:t>
      </w:r>
      <w:r>
        <w:t>et</w:t>
      </w:r>
      <w:r>
        <w:rPr>
          <w:spacing w:val="-10"/>
        </w:rPr>
        <w:t xml:space="preserve"> </w:t>
      </w:r>
      <w:r>
        <w:t>seq.,</w:t>
      </w:r>
      <w:r>
        <w:rPr>
          <w:spacing w:val="-8"/>
        </w:rPr>
        <w:t xml:space="preserve"> </w:t>
      </w:r>
      <w:r>
        <w:t>2000e</w:t>
      </w:r>
      <w:r>
        <w:rPr>
          <w:spacing w:val="-9"/>
        </w:rPr>
        <w:t xml:space="preserve"> </w:t>
      </w:r>
      <w:r>
        <w:t>et</w:t>
      </w:r>
      <w:r>
        <w:rPr>
          <w:spacing w:val="-10"/>
        </w:rPr>
        <w:t xml:space="preserve"> </w:t>
      </w:r>
      <w:r>
        <w:t>seq.,</w:t>
      </w:r>
      <w:r>
        <w:rPr>
          <w:spacing w:val="-10"/>
        </w:rPr>
        <w:t xml:space="preserve"> </w:t>
      </w:r>
      <w:r>
        <w:t>2000ff</w:t>
      </w:r>
      <w:r>
        <w:rPr>
          <w:spacing w:val="-7"/>
        </w:rPr>
        <w:t xml:space="preserve"> </w:t>
      </w:r>
      <w:r>
        <w:t>et</w:t>
      </w:r>
      <w:r>
        <w:rPr>
          <w:spacing w:val="-8"/>
        </w:rPr>
        <w:t xml:space="preserve"> </w:t>
      </w:r>
      <w:r>
        <w:t>seq.,</w:t>
      </w:r>
      <w:r>
        <w:rPr>
          <w:spacing w:val="-7"/>
        </w:rPr>
        <w:t xml:space="preserve"> </w:t>
      </w:r>
      <w:r>
        <w:t>6101</w:t>
      </w:r>
      <w:r>
        <w:rPr>
          <w:spacing w:val="-8"/>
        </w:rPr>
        <w:t xml:space="preserve"> </w:t>
      </w:r>
      <w:r>
        <w:t>et</w:t>
      </w:r>
      <w:r>
        <w:rPr>
          <w:spacing w:val="-10"/>
        </w:rPr>
        <w:t xml:space="preserve"> </w:t>
      </w:r>
      <w:r>
        <w:t>seq.,</w:t>
      </w:r>
      <w:r>
        <w:rPr>
          <w:spacing w:val="-10"/>
        </w:rPr>
        <w:t xml:space="preserve"> </w:t>
      </w:r>
      <w:r>
        <w:t>12101</w:t>
      </w:r>
      <w:r>
        <w:rPr>
          <w:spacing w:val="-6"/>
        </w:rPr>
        <w:t xml:space="preserve"> </w:t>
      </w:r>
      <w:r>
        <w:t>et seq.;</w:t>
      </w:r>
      <w:r>
        <w:rPr>
          <w:spacing w:val="-6"/>
        </w:rPr>
        <w:t xml:space="preserve"> </w:t>
      </w:r>
      <w:r>
        <w:t>29</w:t>
      </w:r>
      <w:r>
        <w:rPr>
          <w:spacing w:val="-7"/>
        </w:rPr>
        <w:t xml:space="preserve"> </w:t>
      </w:r>
      <w:r>
        <w:t>CFR</w:t>
      </w:r>
      <w:r>
        <w:rPr>
          <w:spacing w:val="-9"/>
        </w:rPr>
        <w:t xml:space="preserve"> </w:t>
      </w:r>
      <w:r>
        <w:t>1630;</w:t>
      </w:r>
      <w:r>
        <w:rPr>
          <w:spacing w:val="-8"/>
        </w:rPr>
        <w:t xml:space="preserve"> </w:t>
      </w:r>
      <w:r>
        <w:t>34</w:t>
      </w:r>
      <w:r>
        <w:rPr>
          <w:spacing w:val="-7"/>
        </w:rPr>
        <w:t xml:space="preserve"> </w:t>
      </w:r>
      <w:r>
        <w:t>CFR</w:t>
      </w:r>
      <w:r>
        <w:rPr>
          <w:spacing w:val="-9"/>
        </w:rPr>
        <w:t xml:space="preserve"> </w:t>
      </w:r>
      <w:r>
        <w:t>104,</w:t>
      </w:r>
      <w:r>
        <w:rPr>
          <w:spacing w:val="-8"/>
        </w:rPr>
        <w:t xml:space="preserve"> </w:t>
      </w:r>
      <w:r>
        <w:t>106.</w:t>
      </w:r>
      <w:r w:rsidR="004C31A7">
        <w:t>1 et seq.</w:t>
      </w:r>
      <w:r>
        <w:rPr>
          <w:spacing w:val="-4"/>
        </w:rPr>
        <w:t>;</w:t>
      </w:r>
      <w:r>
        <w:rPr>
          <w:spacing w:val="-7"/>
        </w:rPr>
        <w:t xml:space="preserve"> </w:t>
      </w:r>
      <w:r>
        <w:t>MCL</w:t>
      </w:r>
      <w:r>
        <w:rPr>
          <w:spacing w:val="-15"/>
        </w:rPr>
        <w:t xml:space="preserve"> </w:t>
      </w:r>
      <w:r>
        <w:t>15.261</w:t>
      </w:r>
      <w:r>
        <w:rPr>
          <w:spacing w:val="-7"/>
        </w:rPr>
        <w:t xml:space="preserve"> </w:t>
      </w:r>
      <w:r>
        <w:t>et</w:t>
      </w:r>
      <w:r>
        <w:rPr>
          <w:spacing w:val="-8"/>
        </w:rPr>
        <w:t xml:space="preserve"> </w:t>
      </w:r>
      <w:r>
        <w:t>seq.; MCL 37.1101 et seq., 37.2101 et seq.</w:t>
      </w:r>
    </w:p>
    <w:p w14:paraId="262AD91F" w14:textId="571772D4" w:rsidR="00F31693" w:rsidRDefault="00F31693" w:rsidP="00F31693">
      <w:pPr>
        <w:pStyle w:val="PolicyBody"/>
      </w:pPr>
      <w:r>
        <w:t>Date adopted:</w:t>
      </w:r>
      <w:r w:rsidR="00281D6F">
        <w:t xml:space="preserve"> June 10, 2024</w:t>
      </w:r>
    </w:p>
    <w:p w14:paraId="54D84291" w14:textId="12FA69F0" w:rsidR="00F31693" w:rsidRPr="00F31693" w:rsidRDefault="00F31693" w:rsidP="00F31693">
      <w:pPr>
        <w:pStyle w:val="PolicyBody"/>
      </w:pPr>
      <w:r>
        <w:t>Date revised:</w:t>
      </w:r>
      <w:r w:rsidR="004C31A7">
        <w:t xml:space="preserve"> </w:t>
      </w:r>
      <w:r w:rsidR="00286210">
        <w:t>April 21, 2025</w:t>
      </w:r>
    </w:p>
    <w:sectPr w:rsidR="00F31693" w:rsidRPr="00F3169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1D41" w14:textId="77777777" w:rsidR="0025255A" w:rsidRDefault="0025255A" w:rsidP="00992EDB">
      <w:r>
        <w:separator/>
      </w:r>
    </w:p>
  </w:endnote>
  <w:endnote w:type="continuationSeparator" w:id="0">
    <w:p w14:paraId="7B890AC2" w14:textId="77777777" w:rsidR="0025255A" w:rsidRDefault="0025255A"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EE20" w14:textId="338AF99A" w:rsidR="005D49FE" w:rsidRPr="005D49FE" w:rsidRDefault="00533AF3" w:rsidP="005D49FE">
    <w:pPr>
      <w:pStyle w:val="PolicyFooter"/>
    </w:pPr>
    <w:r>
      <w:drawing>
        <wp:anchor distT="0" distB="0" distL="114300" distR="114300" simplePos="0" relativeHeight="251658240" behindDoc="1" locked="0" layoutInCell="1" allowOverlap="1" wp14:anchorId="59B8476E" wp14:editId="0D993E8D">
          <wp:simplePos x="0" y="0"/>
          <wp:positionH relativeFrom="column">
            <wp:posOffset>445135</wp:posOffset>
          </wp:positionH>
          <wp:positionV relativeFrom="paragraph">
            <wp:posOffset>-109813</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323FF8">
      <w:t>2</w:t>
    </w:r>
    <w:r w:rsidR="00286210">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9E1E" w14:textId="77777777" w:rsidR="0025255A" w:rsidRDefault="0025255A" w:rsidP="00992EDB">
      <w:r>
        <w:separator/>
      </w:r>
    </w:p>
  </w:footnote>
  <w:footnote w:type="continuationSeparator" w:id="0">
    <w:p w14:paraId="091CFEC5" w14:textId="77777777" w:rsidR="0025255A" w:rsidRDefault="0025255A"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3189" w14:textId="196AC726" w:rsidR="00281D6F" w:rsidRDefault="00281D6F" w:rsidP="00281D6F">
    <w:pPr>
      <w:pStyle w:val="Header"/>
      <w:jc w:val="center"/>
    </w:pPr>
    <w:r>
      <w:rPr>
        <w:noProof/>
      </w:rPr>
      <w:drawing>
        <wp:inline distT="0" distB="0" distL="0" distR="0" wp14:anchorId="3066C915" wp14:editId="723D0105">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CE730DA"/>
    <w:multiLevelType w:val="hybridMultilevel"/>
    <w:tmpl w:val="C6961600"/>
    <w:lvl w:ilvl="0" w:tplc="80B87AF4">
      <w:numFmt w:val="bullet"/>
      <w:lvlText w:val="☐"/>
      <w:lvlJc w:val="left"/>
      <w:pPr>
        <w:ind w:left="664" w:hanging="456"/>
      </w:pPr>
      <w:rPr>
        <w:rFonts w:ascii="Segoe UI Emoji" w:eastAsia="Segoe UI Emoji" w:hAnsi="Segoe UI Emoji" w:cs="Segoe UI Emoji" w:hint="default"/>
        <w:w w:val="99"/>
        <w:sz w:val="24"/>
        <w:szCs w:val="24"/>
      </w:rPr>
    </w:lvl>
    <w:lvl w:ilvl="1" w:tplc="4ABEDF24">
      <w:numFmt w:val="bullet"/>
      <w:lvlText w:val="•"/>
      <w:lvlJc w:val="left"/>
      <w:pPr>
        <w:ind w:left="1684" w:hanging="456"/>
      </w:pPr>
      <w:rPr>
        <w:rFonts w:hint="default"/>
      </w:rPr>
    </w:lvl>
    <w:lvl w:ilvl="2" w:tplc="FD2288F6">
      <w:numFmt w:val="bullet"/>
      <w:lvlText w:val="•"/>
      <w:lvlJc w:val="left"/>
      <w:pPr>
        <w:ind w:left="2708" w:hanging="456"/>
      </w:pPr>
      <w:rPr>
        <w:rFonts w:hint="default"/>
      </w:rPr>
    </w:lvl>
    <w:lvl w:ilvl="3" w:tplc="F1062898">
      <w:numFmt w:val="bullet"/>
      <w:lvlText w:val="•"/>
      <w:lvlJc w:val="left"/>
      <w:pPr>
        <w:ind w:left="3732" w:hanging="456"/>
      </w:pPr>
      <w:rPr>
        <w:rFonts w:hint="default"/>
      </w:rPr>
    </w:lvl>
    <w:lvl w:ilvl="4" w:tplc="9474D550">
      <w:numFmt w:val="bullet"/>
      <w:lvlText w:val="•"/>
      <w:lvlJc w:val="left"/>
      <w:pPr>
        <w:ind w:left="4756" w:hanging="456"/>
      </w:pPr>
      <w:rPr>
        <w:rFonts w:hint="default"/>
      </w:rPr>
    </w:lvl>
    <w:lvl w:ilvl="5" w:tplc="11B242BE">
      <w:numFmt w:val="bullet"/>
      <w:lvlText w:val="•"/>
      <w:lvlJc w:val="left"/>
      <w:pPr>
        <w:ind w:left="5780" w:hanging="456"/>
      </w:pPr>
      <w:rPr>
        <w:rFonts w:hint="default"/>
      </w:rPr>
    </w:lvl>
    <w:lvl w:ilvl="6" w:tplc="EFF4FB8E">
      <w:numFmt w:val="bullet"/>
      <w:lvlText w:val="•"/>
      <w:lvlJc w:val="left"/>
      <w:pPr>
        <w:ind w:left="6804" w:hanging="456"/>
      </w:pPr>
      <w:rPr>
        <w:rFonts w:hint="default"/>
      </w:rPr>
    </w:lvl>
    <w:lvl w:ilvl="7" w:tplc="FC62E390">
      <w:numFmt w:val="bullet"/>
      <w:lvlText w:val="•"/>
      <w:lvlJc w:val="left"/>
      <w:pPr>
        <w:ind w:left="7828" w:hanging="456"/>
      </w:pPr>
      <w:rPr>
        <w:rFonts w:hint="default"/>
      </w:rPr>
    </w:lvl>
    <w:lvl w:ilvl="8" w:tplc="9B70BBA8">
      <w:numFmt w:val="bullet"/>
      <w:lvlText w:val="•"/>
      <w:lvlJc w:val="left"/>
      <w:pPr>
        <w:ind w:left="8852" w:hanging="456"/>
      </w:pPr>
      <w:rPr>
        <w:rFonts w:hint="default"/>
      </w:rPr>
    </w:lvl>
  </w:abstractNum>
  <w:abstractNum w:abstractNumId="2"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5"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1"/>
  </w:num>
  <w:num w:numId="2">
    <w:abstractNumId w:val="4"/>
  </w:num>
  <w:num w:numId="3">
    <w:abstractNumId w:val="0"/>
  </w:num>
  <w:num w:numId="4">
    <w:abstractNumId w:val="5"/>
  </w:num>
  <w:num w:numId="5">
    <w:abstractNumId w:val="6"/>
  </w:num>
  <w:num w:numId="6">
    <w:abstractNumId w:val="2"/>
  </w:num>
  <w:num w:numId="7">
    <w:abstractNumId w:val="7"/>
  </w:num>
  <w:num w:numId="8">
    <w:abstractNumId w:val="3"/>
  </w:num>
  <w:num w:numId="9">
    <w:abstractNumId w:val="8"/>
  </w:num>
  <w:num w:numId="10">
    <w:abstractNumId w:val="9"/>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A0"/>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9A0"/>
    <w:rsid w:val="00193BB2"/>
    <w:rsid w:val="001964F0"/>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255A"/>
    <w:rsid w:val="0025692D"/>
    <w:rsid w:val="002677E9"/>
    <w:rsid w:val="00270E1A"/>
    <w:rsid w:val="0027562C"/>
    <w:rsid w:val="00280A75"/>
    <w:rsid w:val="00281D6F"/>
    <w:rsid w:val="00282C53"/>
    <w:rsid w:val="00286210"/>
    <w:rsid w:val="002912AA"/>
    <w:rsid w:val="0029517E"/>
    <w:rsid w:val="00296BEA"/>
    <w:rsid w:val="00297CDA"/>
    <w:rsid w:val="002B3441"/>
    <w:rsid w:val="002C2C78"/>
    <w:rsid w:val="002C600B"/>
    <w:rsid w:val="002D29B7"/>
    <w:rsid w:val="002D2C7A"/>
    <w:rsid w:val="002D5278"/>
    <w:rsid w:val="002D56D3"/>
    <w:rsid w:val="002D6CEE"/>
    <w:rsid w:val="002E43BA"/>
    <w:rsid w:val="002F6463"/>
    <w:rsid w:val="002F746E"/>
    <w:rsid w:val="0030063C"/>
    <w:rsid w:val="00303803"/>
    <w:rsid w:val="003153BF"/>
    <w:rsid w:val="00316CDD"/>
    <w:rsid w:val="003204BF"/>
    <w:rsid w:val="003211AF"/>
    <w:rsid w:val="003239A1"/>
    <w:rsid w:val="00323FF8"/>
    <w:rsid w:val="00335379"/>
    <w:rsid w:val="0033646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A7"/>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3AF3"/>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421A"/>
    <w:rsid w:val="007E71DF"/>
    <w:rsid w:val="007F1A9C"/>
    <w:rsid w:val="007F2970"/>
    <w:rsid w:val="007F5056"/>
    <w:rsid w:val="007F6196"/>
    <w:rsid w:val="007F69B0"/>
    <w:rsid w:val="00801ACE"/>
    <w:rsid w:val="008034C3"/>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66C5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C3F22"/>
    <w:rsid w:val="009D11A6"/>
    <w:rsid w:val="009D54F1"/>
    <w:rsid w:val="009D68DD"/>
    <w:rsid w:val="009E2AC5"/>
    <w:rsid w:val="009F50FC"/>
    <w:rsid w:val="00A00591"/>
    <w:rsid w:val="00A00E51"/>
    <w:rsid w:val="00A013A6"/>
    <w:rsid w:val="00A02673"/>
    <w:rsid w:val="00A03BCE"/>
    <w:rsid w:val="00A10999"/>
    <w:rsid w:val="00A13D07"/>
    <w:rsid w:val="00A145B9"/>
    <w:rsid w:val="00A214B1"/>
    <w:rsid w:val="00A24AB9"/>
    <w:rsid w:val="00A25C50"/>
    <w:rsid w:val="00A26AEB"/>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AF6E7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73C8C"/>
    <w:rsid w:val="00B80F83"/>
    <w:rsid w:val="00B846B3"/>
    <w:rsid w:val="00B90702"/>
    <w:rsid w:val="00B91D49"/>
    <w:rsid w:val="00B9429F"/>
    <w:rsid w:val="00B94B71"/>
    <w:rsid w:val="00BA09BB"/>
    <w:rsid w:val="00BA2EEC"/>
    <w:rsid w:val="00BB05A3"/>
    <w:rsid w:val="00BC3275"/>
    <w:rsid w:val="00BC53CB"/>
    <w:rsid w:val="00BE0AA4"/>
    <w:rsid w:val="00BF1F28"/>
    <w:rsid w:val="00BF7020"/>
    <w:rsid w:val="00C016FE"/>
    <w:rsid w:val="00C069B9"/>
    <w:rsid w:val="00C07B69"/>
    <w:rsid w:val="00C10BBD"/>
    <w:rsid w:val="00C10F58"/>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6788C"/>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26CBB"/>
    <w:rsid w:val="00F31693"/>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DD6D"/>
  <w15:chartTrackingRefBased/>
  <w15:docId w15:val="{8C3673E9-8D1E-40D4-9BC8-DCDD672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A0"/>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1"/>
    <w:qFormat/>
    <w:rsid w:val="00533AF3"/>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1"/>
    <w:unhideWhenUsed/>
    <w:qFormat/>
    <w:rsid w:val="00533AF3"/>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9"/>
    <w:link w:val="Heading3Char"/>
    <w:uiPriority w:val="9"/>
    <w:unhideWhenUsed/>
    <w:qFormat/>
    <w:rsid w:val="00533AF3"/>
    <w:pPr>
      <w:outlineLvl w:val="2"/>
    </w:pPr>
    <w:rPr>
      <w:color w:val="0D0D0D" w:themeColor="text1" w:themeTint="F2"/>
    </w:rPr>
  </w:style>
  <w:style w:type="paragraph" w:styleId="Heading4">
    <w:name w:val="heading 4"/>
    <w:basedOn w:val="Heading3"/>
    <w:link w:val="Heading4Char"/>
    <w:uiPriority w:val="9"/>
    <w:unhideWhenUsed/>
    <w:rsid w:val="00533AF3"/>
    <w:pPr>
      <w:outlineLvl w:val="3"/>
    </w:pPr>
  </w:style>
  <w:style w:type="paragraph" w:styleId="Heading5">
    <w:name w:val="heading 5"/>
    <w:basedOn w:val="Heading4"/>
    <w:next w:val="Heading4"/>
    <w:link w:val="Heading5Char"/>
    <w:uiPriority w:val="9"/>
    <w:unhideWhenUsed/>
    <w:rsid w:val="00533AF3"/>
    <w:pPr>
      <w:outlineLvl w:val="4"/>
    </w:pPr>
  </w:style>
  <w:style w:type="paragraph" w:styleId="Heading6">
    <w:name w:val="heading 6"/>
    <w:basedOn w:val="Heading5"/>
    <w:link w:val="Heading6Char"/>
    <w:uiPriority w:val="9"/>
    <w:unhideWhenUsed/>
    <w:rsid w:val="00533AF3"/>
    <w:pPr>
      <w:outlineLvl w:val="5"/>
    </w:pPr>
  </w:style>
  <w:style w:type="paragraph" w:styleId="Heading7">
    <w:name w:val="heading 7"/>
    <w:basedOn w:val="Heading6"/>
    <w:link w:val="Heading7Char"/>
    <w:uiPriority w:val="9"/>
    <w:unhideWhenUsed/>
    <w:rsid w:val="00533AF3"/>
    <w:pPr>
      <w:outlineLvl w:val="6"/>
    </w:pPr>
  </w:style>
  <w:style w:type="paragraph" w:styleId="Heading8">
    <w:name w:val="heading 8"/>
    <w:basedOn w:val="Normal"/>
    <w:link w:val="Heading8Char"/>
    <w:uiPriority w:val="9"/>
    <w:unhideWhenUsed/>
    <w:rsid w:val="00533AF3"/>
    <w:pPr>
      <w:keepNext/>
      <w:numPr>
        <w:ilvl w:val="8"/>
      </w:numPr>
      <w:tabs>
        <w:tab w:val="left" w:pos="720"/>
      </w:tabs>
      <w:ind w:left="720" w:hanging="720"/>
      <w:outlineLvl w:val="7"/>
    </w:pPr>
    <w:rPr>
      <w:b/>
      <w:i/>
      <w:iCs/>
      <w:color w:val="272727" w:themeColor="text1" w:themeTint="D8"/>
      <w:szCs w:val="21"/>
    </w:rPr>
  </w:style>
  <w:style w:type="paragraph" w:styleId="Heading9">
    <w:name w:val="heading 9"/>
    <w:basedOn w:val="Heading8"/>
    <w:link w:val="Heading9Char"/>
    <w:uiPriority w:val="9"/>
    <w:unhideWhenUsed/>
    <w:rsid w:val="00533AF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1"/>
    <w:rsid w:val="00533AF3"/>
    <w:rPr>
      <w:rFonts w:ascii="Arial" w:eastAsiaTheme="majorEastAsia" w:hAnsi="Arial" w:cs="Arial"/>
      <w:b/>
      <w:color w:val="000000" w:themeColor="text1"/>
    </w:rPr>
  </w:style>
  <w:style w:type="character" w:customStyle="1" w:styleId="Heading2Char">
    <w:name w:val="Heading 2 Char"/>
    <w:basedOn w:val="DefaultParagraphFont"/>
    <w:link w:val="Heading2"/>
    <w:uiPriority w:val="1"/>
    <w:rsid w:val="00533AF3"/>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533AF3"/>
    <w:rPr>
      <w:rFonts w:ascii="Arial" w:eastAsiaTheme="majorEastAsia" w:hAnsi="Arial" w:cs="Arial"/>
      <w:b/>
      <w:i/>
    </w:rPr>
  </w:style>
  <w:style w:type="character" w:customStyle="1" w:styleId="Heading3Char">
    <w:name w:val="Heading 3 Char"/>
    <w:basedOn w:val="DefaultParagraphFont"/>
    <w:link w:val="Heading3"/>
    <w:uiPriority w:val="9"/>
    <w:rsid w:val="00533AF3"/>
    <w:rPr>
      <w:rFonts w:ascii="Arial" w:eastAsiaTheme="majorEastAsia" w:hAnsi="Arial" w:cs="Arial"/>
      <w:b/>
      <w:i/>
      <w:iCs/>
      <w:color w:val="0D0D0D" w:themeColor="text1" w:themeTint="F2"/>
      <w:szCs w:val="21"/>
    </w:rPr>
  </w:style>
  <w:style w:type="character" w:customStyle="1" w:styleId="Heading5Char">
    <w:name w:val="Heading 5 Char"/>
    <w:basedOn w:val="DefaultParagraphFont"/>
    <w:link w:val="Heading5"/>
    <w:uiPriority w:val="9"/>
    <w:rsid w:val="00533AF3"/>
    <w:rPr>
      <w:rFonts w:ascii="Arial" w:eastAsiaTheme="majorEastAsia" w:hAnsi="Arial" w:cs="Arial"/>
      <w:b/>
      <w:i/>
    </w:rPr>
  </w:style>
  <w:style w:type="character" w:customStyle="1" w:styleId="Heading7Char">
    <w:name w:val="Heading 7 Char"/>
    <w:basedOn w:val="DefaultParagraphFont"/>
    <w:link w:val="Heading7"/>
    <w:uiPriority w:val="9"/>
    <w:rsid w:val="00533AF3"/>
    <w:rPr>
      <w:rFonts w:ascii="Arial" w:eastAsiaTheme="majorEastAsia" w:hAnsi="Arial" w:cs="Arial"/>
      <w:b/>
      <w:i/>
    </w:rPr>
  </w:style>
  <w:style w:type="character" w:customStyle="1" w:styleId="Heading6Char">
    <w:name w:val="Heading 6 Char"/>
    <w:basedOn w:val="DefaultParagraphFont"/>
    <w:link w:val="Heading6"/>
    <w:uiPriority w:val="9"/>
    <w:rsid w:val="00533AF3"/>
    <w:rPr>
      <w:rFonts w:ascii="Arial" w:eastAsiaTheme="majorEastAsia" w:hAnsi="Arial" w:cs="Arial"/>
      <w:b/>
      <w:i/>
    </w:rPr>
  </w:style>
  <w:style w:type="character" w:customStyle="1" w:styleId="Heading8Char">
    <w:name w:val="Heading 8 Char"/>
    <w:basedOn w:val="DefaultParagraphFont"/>
    <w:link w:val="Heading8"/>
    <w:uiPriority w:val="9"/>
    <w:rsid w:val="00533AF3"/>
    <w:rPr>
      <w:rFonts w:ascii="Arial" w:eastAsiaTheme="majorEastAsia" w:hAnsi="Arial" w:cs="Arial"/>
      <w:b/>
      <w:i/>
      <w:iCs/>
      <w:color w:val="272727" w:themeColor="text1" w:themeTint="D8"/>
      <w:szCs w:val="21"/>
    </w:rPr>
  </w:style>
  <w:style w:type="character" w:customStyle="1" w:styleId="Heading9Char">
    <w:name w:val="Heading 9 Char"/>
    <w:basedOn w:val="DefaultParagraphFont"/>
    <w:link w:val="Heading9"/>
    <w:uiPriority w:val="9"/>
    <w:rsid w:val="00533AF3"/>
    <w:rPr>
      <w:rFonts w:ascii="Arial" w:eastAsiaTheme="majorEastAsia" w:hAnsi="Arial" w:cs="Arial"/>
      <w:b/>
      <w: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iCs/>
      <w:color w:val="000000" w:themeColor="text1"/>
      <w:szCs w:val="2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iCs/>
      <w:color w:val="000000" w:themeColor="text1"/>
      <w:szCs w:val="2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iCs/>
      <w:color w:val="000000" w:themeColor="text1"/>
      <w:szCs w:val="2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iCs/>
      <w:color w:val="000000" w:themeColor="text1"/>
      <w:szCs w:val="2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iCs/>
      <w:color w:val="0D0D0D" w:themeColor="text1" w:themeTint="F2"/>
      <w:szCs w:val="2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iCs/>
      <w:color w:val="000000" w:themeColor="text1"/>
      <w:szCs w:val="2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iCs/>
      <w:color w:val="000000" w:themeColor="text1"/>
      <w:szCs w:val="2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iCs/>
      <w:color w:val="000000" w:themeColor="text1"/>
      <w:szCs w:val="2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iCs/>
      <w:color w:val="000000" w:themeColor="text1"/>
      <w:szCs w:val="2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iCs/>
      <w:color w:val="000000" w:themeColor="text1"/>
      <w:szCs w:val="21"/>
    </w:rPr>
  </w:style>
  <w:style w:type="character" w:customStyle="1" w:styleId="BulletLevel5Char">
    <w:name w:val="Bullet Level 5 Char"/>
    <w:basedOn w:val="Bulletlevel4Char"/>
    <w:link w:val="BulletLevel5"/>
    <w:rsid w:val="008B2F07"/>
    <w:rPr>
      <w:rFonts w:ascii="Arial" w:eastAsiaTheme="majorEastAsia" w:hAnsi="Arial" w:cs="Arial"/>
      <w:b w:val="0"/>
      <w:i w:val="0"/>
      <w:iCs/>
      <w:color w:val="FF0000"/>
      <w:szCs w:val="21"/>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iCs/>
      <w:color w:val="000000" w:themeColor="text1"/>
      <w:szCs w:val="2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iCs/>
      <w:color w:val="000000" w:themeColor="text1"/>
      <w:szCs w:val="2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iCs/>
      <w:color w:val="000000" w:themeColor="text1"/>
      <w:szCs w:val="2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BodyText">
    <w:name w:val="Body Text"/>
    <w:basedOn w:val="Normal"/>
    <w:link w:val="BodyTextChar"/>
    <w:uiPriority w:val="1"/>
    <w:qFormat/>
    <w:rsid w:val="00F31693"/>
    <w:pPr>
      <w:widowControl w:val="0"/>
      <w:autoSpaceDE w:val="0"/>
      <w:autoSpaceDN w:val="0"/>
      <w:spacing w:after="0"/>
      <w:jc w:val="left"/>
    </w:pPr>
    <w:rPr>
      <w:rFonts w:eastAsia="Arial"/>
      <w:color w:val="auto"/>
      <w:kern w:val="0"/>
    </w:rPr>
  </w:style>
  <w:style w:type="character" w:customStyle="1" w:styleId="BodyTextChar">
    <w:name w:val="Body Text Char"/>
    <w:basedOn w:val="DefaultParagraphFont"/>
    <w:link w:val="BodyText"/>
    <w:uiPriority w:val="1"/>
    <w:rsid w:val="00F31693"/>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CR-INFO@michiga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eoc.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1B071-A4F3-456E-9DBB-B86524DA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15</TotalTime>
  <Pages>2</Pages>
  <Words>550</Words>
  <Characters>3136</Characters>
  <Application>Microsoft Office Word</Application>
  <DocSecurity>0</DocSecurity>
  <PresentationFormat>15|.DOCX</PresentationFormat>
  <Lines>26</Lines>
  <Paragraphs>7</Paragraphs>
  <ScaleCrop>false</ScaleCrop>
  <HeadingPairs>
    <vt:vector size="2" baseType="variant">
      <vt:variant>
        <vt:lpstr>Title</vt:lpstr>
      </vt:variant>
      <vt:variant>
        <vt:i4>1</vt:i4>
      </vt:variant>
    </vt:vector>
  </HeadingPairs>
  <TitlesOfParts>
    <vt:vector size="1" baseType="lpstr">
      <vt:lpstr>4104 Employment Complaint Procedure (PMM 5-19-23 Revisions) (01960426).DOCX</vt:lpstr>
    </vt:vector>
  </TitlesOfParts>
  <Company>Thrun Law Firm</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4104 Employment Complaint Procedure (PMM 5-19-23 Revisions) (01960426).DOCX</dc:title>
  <dc:subject/>
  <dc:creator>Rachel E. Hewitt</dc:creator>
  <cp:keywords/>
  <dc:description/>
  <cp:lastModifiedBy>MICHELLE MUNYON</cp:lastModifiedBy>
  <cp:revision>9</cp:revision>
  <cp:lastPrinted>2019-11-05T00:23:00Z</cp:lastPrinted>
  <dcterms:created xsi:type="dcterms:W3CDTF">2023-07-06T14:36:00Z</dcterms:created>
  <dcterms:modified xsi:type="dcterms:W3CDTF">2025-02-25T20:08:00Z</dcterms:modified>
</cp:coreProperties>
</file>