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4F4B" w14:textId="77777777" w:rsidR="00C90922" w:rsidRPr="004158DD" w:rsidRDefault="00C90922" w:rsidP="004158DD">
      <w:pPr>
        <w:pStyle w:val="Heading1"/>
      </w:pPr>
      <w:r w:rsidRPr="004158DD">
        <w:t>Series 4000: District Employment</w:t>
      </w:r>
    </w:p>
    <w:p w14:paraId="3D5CE2D2" w14:textId="77777777" w:rsidR="00C90922" w:rsidRPr="004158DD" w:rsidRDefault="00C90922" w:rsidP="004158DD">
      <w:pPr>
        <w:pStyle w:val="Heading2"/>
      </w:pPr>
      <w:r w:rsidRPr="004158DD">
        <w:t>4100</w:t>
      </w:r>
      <w:r w:rsidRPr="004158DD">
        <w:tab/>
        <w:t>Employee Rights and Responsibilities</w:t>
      </w:r>
    </w:p>
    <w:p w14:paraId="62C750A7" w14:textId="77777777" w:rsidR="00C90922" w:rsidRPr="004158DD" w:rsidRDefault="00C90922" w:rsidP="004158DD">
      <w:pPr>
        <w:pStyle w:val="Heading3"/>
      </w:pPr>
      <w:r w:rsidRPr="004158DD">
        <w:t>4104-AG</w:t>
      </w:r>
      <w:r w:rsidR="00312E56" w:rsidRPr="004158DD">
        <w:tab/>
      </w:r>
      <w:r w:rsidRPr="004158DD">
        <w:t>Employment Complaint Procedure</w:t>
      </w:r>
    </w:p>
    <w:p w14:paraId="65CC1727" w14:textId="7FD5DE51" w:rsidR="00C90922" w:rsidRPr="005B776E" w:rsidRDefault="00C90922" w:rsidP="00C90922">
      <w:pPr>
        <w:pStyle w:val="PolicyBody"/>
      </w:pPr>
      <w:r>
        <w:t xml:space="preserve">Consistent with Policies 4101, 4102, 4103, and 4104, the Employment Compliance Officer, Superintendent, or Board President or designee must initiate or have initiated an investigation into formal or informal complaints alleging unlawful discrimination, including unlawful sexual harassment, or retaliation. These Administrative Guidelines outline general procedures for an investigation. Title IX investigations </w:t>
      </w:r>
      <w:r w:rsidR="3E211EBC">
        <w:t xml:space="preserve">must </w:t>
      </w:r>
      <w:r>
        <w:t>be performed in compliance with Polic</w:t>
      </w:r>
      <w:r w:rsidR="5BCC557B">
        <w:t>y 3118</w:t>
      </w:r>
      <w:r>
        <w:t>.</w:t>
      </w:r>
    </w:p>
    <w:p w14:paraId="0928E0A4" w14:textId="77777777" w:rsidR="00C90922" w:rsidRPr="005B776E" w:rsidRDefault="00C90922" w:rsidP="00C90922">
      <w:pPr>
        <w:pStyle w:val="Level1"/>
      </w:pPr>
      <w:r>
        <w:t>Confidentiality</w:t>
      </w:r>
    </w:p>
    <w:p w14:paraId="3249EEC3" w14:textId="77777777" w:rsidR="00C90922" w:rsidRPr="005B776E" w:rsidRDefault="00C90922" w:rsidP="00C90922">
      <w:pPr>
        <w:pStyle w:val="Level1sub"/>
      </w:pPr>
      <w:r>
        <w:t>T</w:t>
      </w:r>
      <w:r w:rsidRPr="005B776E">
        <w:t xml:space="preserve">he investigator may be required to share the complaint with others, including the accused and witnesses, to obtain relevant information to conduct a </w:t>
      </w:r>
      <w:r>
        <w:t>prompt</w:t>
      </w:r>
      <w:r w:rsidRPr="005B776E">
        <w:t xml:space="preserve"> investigation. The complaint and other investigatory materials may be subject to disclosure in legal proceedings or under state or federal law, regulations, or r</w:t>
      </w:r>
      <w:r w:rsidR="00CB037E">
        <w:t>ules. If the District retains a licensed investigator or an</w:t>
      </w:r>
      <w:r w:rsidRPr="005B776E">
        <w:t xml:space="preserve"> attorney to conduct the investigation, the</w:t>
      </w:r>
      <w:r w:rsidR="00CB037E">
        <w:t xml:space="preserve"> investigator’s notes and report and/or the</w:t>
      </w:r>
      <w:r w:rsidRPr="005B776E">
        <w:t xml:space="preserve"> attorney’s work product and attorney-client communications are privileged to the maximum extent permitted </w:t>
      </w:r>
      <w:r>
        <w:t xml:space="preserve">by state or federal </w:t>
      </w:r>
      <w:r w:rsidRPr="005B776E">
        <w:t xml:space="preserve">law unless </w:t>
      </w:r>
      <w:r>
        <w:t>expressly</w:t>
      </w:r>
      <w:r w:rsidRPr="005B776E">
        <w:t xml:space="preserve"> waived by the Board. </w:t>
      </w:r>
      <w:r>
        <w:t>C</w:t>
      </w:r>
      <w:r w:rsidRPr="005B776E">
        <w:t>onfidentiality cannot be guaranteed.</w:t>
      </w:r>
    </w:p>
    <w:p w14:paraId="629DDBEA" w14:textId="77777777" w:rsidR="00C90922" w:rsidRPr="005B776E" w:rsidRDefault="00C90922" w:rsidP="00C90922">
      <w:pPr>
        <w:pStyle w:val="Level1"/>
      </w:pPr>
      <w:r>
        <w:t>Searches</w:t>
      </w:r>
    </w:p>
    <w:p w14:paraId="35F8F85A" w14:textId="77777777" w:rsidR="00C90922" w:rsidRPr="005B776E" w:rsidRDefault="00C90922" w:rsidP="00C90922">
      <w:pPr>
        <w:pStyle w:val="Level1sub"/>
      </w:pPr>
      <w:r w:rsidRPr="005B776E">
        <w:t xml:space="preserve">Searches of public property and private belongings must be conducted consistent with the U.S. and Michigan Constitutions, laws, regulations, </w:t>
      </w:r>
      <w:r>
        <w:t xml:space="preserve">rules, </w:t>
      </w:r>
      <w:r w:rsidRPr="005B776E">
        <w:t>Po</w:t>
      </w:r>
      <w:r>
        <w:t>licies, and relevant contracts.</w:t>
      </w:r>
    </w:p>
    <w:p w14:paraId="2C335281" w14:textId="77777777" w:rsidR="00C90922" w:rsidRPr="005B776E" w:rsidRDefault="00C90922" w:rsidP="00C90922">
      <w:pPr>
        <w:pStyle w:val="Level1"/>
      </w:pPr>
      <w:r w:rsidRPr="005B776E">
        <w:t>Unionized Employees</w:t>
      </w:r>
    </w:p>
    <w:p w14:paraId="1CF4E29C" w14:textId="77777777" w:rsidR="00C90922" w:rsidRPr="005B776E" w:rsidRDefault="00C90922" w:rsidP="00C90922">
      <w:pPr>
        <w:pStyle w:val="Level1sub"/>
      </w:pPr>
      <w:r w:rsidRPr="005B776E">
        <w:t xml:space="preserve">The investigator will consult collective bargaining agreements when investigating bargaining unit employees. See Policy 4108. </w:t>
      </w:r>
      <w:r>
        <w:t>An employee who is a witness need not be provided union representation unless required by the applicable collective bargaining agreement.</w:t>
      </w:r>
    </w:p>
    <w:p w14:paraId="143CFAD9" w14:textId="77777777" w:rsidR="00C90922" w:rsidRPr="005B776E" w:rsidRDefault="00C90922" w:rsidP="00C90922">
      <w:pPr>
        <w:pStyle w:val="Level1"/>
      </w:pPr>
      <w:r w:rsidRPr="005B776E">
        <w:t xml:space="preserve">Reports to </w:t>
      </w:r>
      <w:r>
        <w:t xml:space="preserve">Law Enforcement </w:t>
      </w:r>
      <w:r w:rsidRPr="005B776E">
        <w:t>or Children’s Protective Services</w:t>
      </w:r>
    </w:p>
    <w:p w14:paraId="459D6017" w14:textId="77777777" w:rsidR="00C90922" w:rsidRPr="005B776E" w:rsidRDefault="00C90922" w:rsidP="00C90922">
      <w:pPr>
        <w:pStyle w:val="Level1sub"/>
      </w:pPr>
      <w:r w:rsidRPr="005B776E">
        <w:t>The investigator will consider whether a report must be made under Policy 4202</w:t>
      </w:r>
      <w:r>
        <w:t xml:space="preserve"> and state law</w:t>
      </w:r>
      <w:r w:rsidRPr="005B776E">
        <w:t xml:space="preserve">. </w:t>
      </w:r>
      <w:r>
        <w:t>Physical assault of a child must be reported to law enforcement and/or Children’s Protective Services</w:t>
      </w:r>
      <w:r w:rsidR="00AB4C5E">
        <w:t xml:space="preserve"> immediately</w:t>
      </w:r>
      <w:r>
        <w:t xml:space="preserve">. </w:t>
      </w:r>
    </w:p>
    <w:p w14:paraId="15AA8BB0" w14:textId="77777777" w:rsidR="00C90922" w:rsidRPr="005B776E" w:rsidRDefault="00C90922" w:rsidP="00C90922">
      <w:pPr>
        <w:pStyle w:val="Level1"/>
      </w:pPr>
      <w:r w:rsidRPr="005B776E">
        <w:t>Retaliation</w:t>
      </w:r>
    </w:p>
    <w:p w14:paraId="12821A0E" w14:textId="161B2F51" w:rsidR="00C90922" w:rsidRPr="005B776E" w:rsidRDefault="00C90922" w:rsidP="00C90922">
      <w:pPr>
        <w:pStyle w:val="Level1sub"/>
      </w:pPr>
      <w:r>
        <w:t>The investigator will notify the Complainant(s), Respondent(s), and witnesses that Policy 4101 prohibits unlawful retaliation.</w:t>
      </w:r>
      <w:r w:rsidR="35E4AAF8">
        <w:t xml:space="preserve"> For Title IX sexual harassment </w:t>
      </w:r>
      <w:r w:rsidR="35E4AAF8">
        <w:lastRenderedPageBreak/>
        <w:t xml:space="preserve">complaints, the Title IX Coordinator will notify the parties and witnesses that Policy 3118 prohibits unlawful retaliation. </w:t>
      </w:r>
    </w:p>
    <w:p w14:paraId="535FE7C7" w14:textId="77777777" w:rsidR="00C90922" w:rsidRDefault="00C90922" w:rsidP="00C90922">
      <w:pPr>
        <w:pStyle w:val="Level1"/>
        <w:keepNext/>
      </w:pPr>
      <w:r>
        <w:t>False Statements</w:t>
      </w:r>
    </w:p>
    <w:p w14:paraId="3711920A" w14:textId="77777777" w:rsidR="00C90922" w:rsidRDefault="00C90922" w:rsidP="00C90922">
      <w:pPr>
        <w:pStyle w:val="Level1sub"/>
      </w:pPr>
      <w:r>
        <w:t>Individuals who make false statements or deliberate misrepresentations will be subject to discipline up to and including discharge.</w:t>
      </w:r>
    </w:p>
    <w:p w14:paraId="1CB9F015" w14:textId="77777777" w:rsidR="00C90922" w:rsidRPr="005B776E" w:rsidRDefault="00C90922" w:rsidP="00C90922">
      <w:pPr>
        <w:pStyle w:val="Level1"/>
      </w:pPr>
      <w:r>
        <w:t>Interviews</w:t>
      </w:r>
    </w:p>
    <w:p w14:paraId="03B4DF26" w14:textId="5EC6D70C" w:rsidR="00C90922" w:rsidRPr="005B776E" w:rsidRDefault="00C90922" w:rsidP="00C90922">
      <w:pPr>
        <w:pStyle w:val="Level1sub"/>
      </w:pPr>
      <w:r>
        <w:t xml:space="preserve">The investigator will interview each witness separately to the extent possible. The investigator is authorized to request a written statement from a witness. The investigator will notify a student’s </w:t>
      </w:r>
      <w:r w:rsidR="003578AB">
        <w:t>P</w:t>
      </w:r>
      <w:r>
        <w:t>arent if a student is interviewed. A Respondent will be provided an opportunity to respond to the allegations against him/her and present relevant evidence.</w:t>
      </w:r>
    </w:p>
    <w:p w14:paraId="2A6A4443" w14:textId="41820E38" w:rsidR="5A4421C5" w:rsidRDefault="5A4421C5" w:rsidP="4EAF386C">
      <w:pPr>
        <w:pStyle w:val="Level1sub"/>
      </w:pPr>
      <w:r>
        <w:t xml:space="preserve">Interviews in Title IX sexual harassment investigations will occur consistent with Policy 3118. </w:t>
      </w:r>
    </w:p>
    <w:p w14:paraId="03D773D6" w14:textId="77777777" w:rsidR="00C90922" w:rsidRPr="005B776E" w:rsidRDefault="00C90922" w:rsidP="00C90922">
      <w:pPr>
        <w:pStyle w:val="Level1"/>
      </w:pPr>
      <w:r w:rsidRPr="005B776E">
        <w:t>Investigation Report</w:t>
      </w:r>
    </w:p>
    <w:p w14:paraId="2298BFB9" w14:textId="77777777" w:rsidR="00C90922" w:rsidRPr="005B776E" w:rsidRDefault="00C90922" w:rsidP="00C90922">
      <w:pPr>
        <w:pStyle w:val="Level1sub"/>
      </w:pPr>
      <w:r w:rsidRPr="005B776E">
        <w:t>If the investigator determines that an investigation report is necessary, the report may contain the following:</w:t>
      </w:r>
    </w:p>
    <w:p w14:paraId="2A77E725" w14:textId="77777777" w:rsidR="00C90922" w:rsidRPr="005B776E" w:rsidRDefault="00E9726E" w:rsidP="00C90922">
      <w:pPr>
        <w:pStyle w:val="Level2"/>
      </w:pPr>
      <w:r>
        <w:t>D</w:t>
      </w:r>
      <w:r w:rsidR="00C90922" w:rsidRPr="005B776E">
        <w:t xml:space="preserve">escription of the complaint or how the </w:t>
      </w:r>
      <w:proofErr w:type="gramStart"/>
      <w:r w:rsidR="00C90922" w:rsidRPr="005B776E">
        <w:t>District</w:t>
      </w:r>
      <w:proofErr w:type="gramEnd"/>
      <w:r w:rsidR="00C90922" w:rsidRPr="005B776E">
        <w:t xml:space="preserve"> received the </w:t>
      </w:r>
      <w:r w:rsidR="00C90922">
        <w:t>information being investigated.</w:t>
      </w:r>
    </w:p>
    <w:p w14:paraId="14A43490" w14:textId="77777777" w:rsidR="00C90922" w:rsidRPr="005B776E" w:rsidRDefault="00E9726E" w:rsidP="00C90922">
      <w:pPr>
        <w:pStyle w:val="Level2"/>
      </w:pPr>
      <w:r>
        <w:t>L</w:t>
      </w:r>
      <w:r w:rsidR="00C90922" w:rsidRPr="005B776E">
        <w:t>ist of witnesses interviewed or who provided written statements.</w:t>
      </w:r>
    </w:p>
    <w:p w14:paraId="2F69CB5B" w14:textId="77777777" w:rsidR="00C90922" w:rsidRPr="005B776E" w:rsidRDefault="00E9726E" w:rsidP="00C90922">
      <w:pPr>
        <w:pStyle w:val="Level2"/>
      </w:pPr>
      <w:r>
        <w:t>S</w:t>
      </w:r>
      <w:r w:rsidR="00C90922" w:rsidRPr="005B776E">
        <w:t xml:space="preserve">ummary of witness statements, including </w:t>
      </w:r>
      <w:r w:rsidR="00C90922">
        <w:t xml:space="preserve">assessment of </w:t>
      </w:r>
      <w:r w:rsidR="00C90922" w:rsidRPr="005B776E">
        <w:t>witness credibility</w:t>
      </w:r>
      <w:r w:rsidR="00C90922">
        <w:t>,</w:t>
      </w:r>
      <w:r w:rsidR="00C90922" w:rsidRPr="005B776E">
        <w:t xml:space="preserve"> if applicable.</w:t>
      </w:r>
    </w:p>
    <w:p w14:paraId="361454FC" w14:textId="77777777" w:rsidR="00C90922" w:rsidRPr="005B776E" w:rsidRDefault="00E9726E" w:rsidP="00C90922">
      <w:pPr>
        <w:pStyle w:val="Level2"/>
      </w:pPr>
      <w:r>
        <w:t>S</w:t>
      </w:r>
      <w:r w:rsidR="00C90922" w:rsidRPr="005B776E">
        <w:t xml:space="preserve">ummary of </w:t>
      </w:r>
      <w:r w:rsidR="00C90922">
        <w:t xml:space="preserve">all </w:t>
      </w:r>
      <w:r w:rsidR="00C90922" w:rsidRPr="005B776E">
        <w:t>evidence considered.</w:t>
      </w:r>
    </w:p>
    <w:p w14:paraId="37C1F025" w14:textId="77777777" w:rsidR="00C90922" w:rsidRPr="005B776E" w:rsidRDefault="00E9726E" w:rsidP="00C90922">
      <w:pPr>
        <w:pStyle w:val="Level2"/>
      </w:pPr>
      <w:r>
        <w:t>A</w:t>
      </w:r>
      <w:r w:rsidR="00C90922" w:rsidRPr="005B776E">
        <w:t>pplicable Policy standards.</w:t>
      </w:r>
    </w:p>
    <w:p w14:paraId="0D10EB82" w14:textId="77777777" w:rsidR="00C90922" w:rsidRPr="005B776E" w:rsidRDefault="00E9726E" w:rsidP="00C90922">
      <w:pPr>
        <w:pStyle w:val="Level2"/>
      </w:pPr>
      <w:r>
        <w:t>F</w:t>
      </w:r>
      <w:r w:rsidR="00C90922">
        <w:t xml:space="preserve">actual </w:t>
      </w:r>
      <w:r w:rsidR="00C90922" w:rsidRPr="005B776E">
        <w:t>findings.</w:t>
      </w:r>
    </w:p>
    <w:p w14:paraId="0816D54F" w14:textId="77777777" w:rsidR="00C90922" w:rsidRPr="005B776E" w:rsidRDefault="00E9726E" w:rsidP="00C90922">
      <w:pPr>
        <w:pStyle w:val="Level2"/>
      </w:pPr>
      <w:r>
        <w:t>A</w:t>
      </w:r>
      <w:r w:rsidR="00C90922">
        <w:t>pplication of factual findings to l</w:t>
      </w:r>
      <w:r w:rsidR="00C90922" w:rsidRPr="005B776E">
        <w:t>egal analysis</w:t>
      </w:r>
      <w:r w:rsidR="00C90922">
        <w:t>, as necessary.</w:t>
      </w:r>
    </w:p>
    <w:p w14:paraId="046D6377" w14:textId="77777777" w:rsidR="00C90922" w:rsidRPr="005B776E" w:rsidRDefault="00E9726E" w:rsidP="00C90922">
      <w:pPr>
        <w:pStyle w:val="Level2"/>
      </w:pPr>
      <w:r>
        <w:t>D</w:t>
      </w:r>
      <w:r w:rsidR="00AB4C5E">
        <w:t>etermination</w:t>
      </w:r>
      <w:r w:rsidR="00C90922">
        <w:t xml:space="preserve"> whether a Policy violation occurred.</w:t>
      </w:r>
    </w:p>
    <w:p w14:paraId="2DC2ECEB" w14:textId="0EA6C8FF" w:rsidR="5300DD40" w:rsidRDefault="5300DD40" w:rsidP="00EE47A4">
      <w:pPr>
        <w:pStyle w:val="Level1sub"/>
      </w:pPr>
      <w:r>
        <w:t xml:space="preserve">Title IX sexual harassment investigation reports will comply with Policy 3118. </w:t>
      </w:r>
    </w:p>
    <w:p w14:paraId="5DADB4CA" w14:textId="77777777" w:rsidR="00C90922" w:rsidRPr="005B776E" w:rsidRDefault="00C90922" w:rsidP="00C90922">
      <w:pPr>
        <w:pStyle w:val="Level1"/>
      </w:pPr>
      <w:r w:rsidRPr="005B776E">
        <w:t>Investigation Outcome</w:t>
      </w:r>
    </w:p>
    <w:p w14:paraId="5328C78E" w14:textId="77777777" w:rsidR="00C90922" w:rsidRPr="005B776E" w:rsidRDefault="00C90922" w:rsidP="00C90922">
      <w:pPr>
        <w:pStyle w:val="Level1sub"/>
      </w:pPr>
      <w:r>
        <w:t>The investigator, the appropriate District administrator, or the Board President will notify the Complainant(s) and Respondent(s) in writing of the investigation’s outcome. The outcome letter will include the parties’ appeal rights.</w:t>
      </w:r>
    </w:p>
    <w:p w14:paraId="2D15F54F" w14:textId="7DC0D734" w:rsidR="21AB315C" w:rsidRDefault="21AB315C" w:rsidP="4EAF386C">
      <w:pPr>
        <w:pStyle w:val="Level1sub"/>
      </w:pPr>
      <w:r>
        <w:lastRenderedPageBreak/>
        <w:t>Title IX sexual harassment determinations of responsibility will comply with Policy 3118.</w:t>
      </w:r>
    </w:p>
    <w:p w14:paraId="3614BF6B" w14:textId="77777777" w:rsidR="00C90922" w:rsidRPr="005B776E" w:rsidRDefault="00C90922" w:rsidP="00C90922">
      <w:pPr>
        <w:pStyle w:val="Level1"/>
      </w:pPr>
      <w:r>
        <w:t>Recordkeeping Protocol</w:t>
      </w:r>
    </w:p>
    <w:p w14:paraId="72149508" w14:textId="77777777" w:rsidR="00C90922" w:rsidRPr="005B776E" w:rsidRDefault="00C90922" w:rsidP="00C90922">
      <w:pPr>
        <w:pStyle w:val="Level2"/>
      </w:pPr>
      <w:r w:rsidRPr="005B776E">
        <w:t>A copy of all notes, w</w:t>
      </w:r>
      <w:r>
        <w:t>itness statements, photographs,</w:t>
      </w:r>
      <w:r w:rsidRPr="005B776E">
        <w:t xml:space="preserve"> other evidence</w:t>
      </w:r>
      <w:r>
        <w:t>, and the investigation report</w:t>
      </w:r>
      <w:r w:rsidRPr="005B776E">
        <w:t xml:space="preserve"> must be </w:t>
      </w:r>
      <w:r>
        <w:t>retained</w:t>
      </w:r>
      <w:r w:rsidRPr="005B776E">
        <w:t xml:space="preserve"> by the Employment Compliance Officer for the duration of the employee’s employment</w:t>
      </w:r>
      <w:r>
        <w:t xml:space="preserve"> or Board member’s term</w:t>
      </w:r>
      <w:r w:rsidRPr="005B776E">
        <w:t xml:space="preserve"> plus </w:t>
      </w:r>
      <w:r w:rsidR="00AB4C5E">
        <w:t>six</w:t>
      </w:r>
      <w:r w:rsidRPr="005B776E">
        <w:t xml:space="preserve"> years, regardless of whether those records are kept in another location.</w:t>
      </w:r>
    </w:p>
    <w:p w14:paraId="7F9B337C" w14:textId="77777777" w:rsidR="00C90922" w:rsidRDefault="00C90922" w:rsidP="00C90922">
      <w:pPr>
        <w:pStyle w:val="Level2"/>
        <w:rPr>
          <w:rFonts w:eastAsiaTheme="minorEastAsia"/>
        </w:rPr>
      </w:pPr>
      <w:r w:rsidRPr="005B776E">
        <w:rPr>
          <w:rFonts w:eastAsiaTheme="minorEastAsia"/>
        </w:rPr>
        <w:t>A copy of an investigation report substantiating an employee’s unprofessional conduct must be retained in the employee’s personnel file for the duration of the emplo</w:t>
      </w:r>
      <w:r>
        <w:rPr>
          <w:rFonts w:eastAsiaTheme="minorEastAsia"/>
        </w:rPr>
        <w:t>yee’s employment plus 50 years.</w:t>
      </w:r>
    </w:p>
    <w:p w14:paraId="5C2575FA" w14:textId="77777777" w:rsidR="00C90922" w:rsidRPr="005B776E" w:rsidRDefault="00C90922" w:rsidP="4EAF386C">
      <w:pPr>
        <w:pStyle w:val="Level2"/>
        <w:rPr>
          <w:rFonts w:eastAsiaTheme="minorEastAsia"/>
        </w:rPr>
      </w:pPr>
      <w:r w:rsidRPr="4EAF386C">
        <w:rPr>
          <w:rFonts w:eastAsiaTheme="minorEastAsia"/>
        </w:rPr>
        <w:t>The above-described records may be retained electronically.</w:t>
      </w:r>
    </w:p>
    <w:p w14:paraId="44EF6DAE" w14:textId="178072C3" w:rsidR="55AF1174" w:rsidRDefault="55AF1174" w:rsidP="4EAF386C">
      <w:pPr>
        <w:pStyle w:val="Level2"/>
        <w:rPr>
          <w:rFonts w:eastAsiaTheme="minorEastAsia"/>
        </w:rPr>
      </w:pPr>
      <w:r w:rsidRPr="4EAF386C">
        <w:rPr>
          <w:rFonts w:eastAsiaTheme="minorEastAsia"/>
        </w:rPr>
        <w:t xml:space="preserve">Records related to Title IX sexual harassment reports and investigations will be maintained consistent </w:t>
      </w:r>
      <w:r w:rsidR="0CE9D122" w:rsidRPr="4EAF386C">
        <w:rPr>
          <w:rFonts w:eastAsiaTheme="minorEastAsia"/>
        </w:rPr>
        <w:t>with Policy 3118.</w:t>
      </w:r>
    </w:p>
    <w:p w14:paraId="04668885" w14:textId="19519C13" w:rsidR="00F3174A" w:rsidRDefault="00F3174A" w:rsidP="00F3174A">
      <w:pPr>
        <w:pStyle w:val="PolicyBody"/>
      </w:pPr>
      <w:r>
        <w:t>Date adopted:</w:t>
      </w:r>
      <w:r w:rsidR="00465ACA">
        <w:t xml:space="preserve"> June 10, 2024</w:t>
      </w:r>
    </w:p>
    <w:p w14:paraId="76EF452F" w14:textId="165A7D22" w:rsidR="001C1EC8" w:rsidRPr="00A00E51" w:rsidRDefault="00F3174A" w:rsidP="00F3174A">
      <w:pPr>
        <w:pStyle w:val="PolicyBody"/>
      </w:pPr>
      <w:r>
        <w:t>Date revised:</w:t>
      </w:r>
      <w:r w:rsidR="00465ACA">
        <w:t xml:space="preserve"> April 21, 2025</w:t>
      </w:r>
    </w:p>
    <w:sectPr w:rsidR="001C1EC8" w:rsidRPr="00A00E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6659" w14:textId="77777777" w:rsidR="00C90922" w:rsidRDefault="00C90922" w:rsidP="00992EDB">
      <w:r>
        <w:separator/>
      </w:r>
    </w:p>
  </w:endnote>
  <w:endnote w:type="continuationSeparator" w:id="0">
    <w:p w14:paraId="0A37501D" w14:textId="77777777" w:rsidR="00C90922" w:rsidRDefault="00C90922"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altName w:val="Calibri"/>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5F83" w14:textId="7F9B3CFC" w:rsidR="005D49FE" w:rsidRPr="00C90922" w:rsidRDefault="007F55F5" w:rsidP="005D49FE">
    <w:pPr>
      <w:pStyle w:val="PolicyFooter"/>
      <w:rPr>
        <w:rFonts w:ascii="Arial" w:hAnsi="Arial" w:cs="Arial"/>
      </w:rPr>
    </w:pPr>
    <w:r w:rsidRPr="00C90922">
      <w:rPr>
        <w:rFonts w:ascii="Arial" w:hAnsi="Arial" w:cs="Arial"/>
      </w:rPr>
      <w:drawing>
        <wp:anchor distT="0" distB="0" distL="114300" distR="114300" simplePos="0" relativeHeight="251658240" behindDoc="1" locked="0" layoutInCell="1" allowOverlap="1" wp14:anchorId="7F385DCB" wp14:editId="7B69A164">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C90922">
      <w:rPr>
        <w:rFonts w:ascii="Arial" w:hAnsi="Arial" w:cs="Arial"/>
      </w:rPr>
      <w:t>© 20</w:t>
    </w:r>
    <w:r w:rsidRPr="00C90922">
      <w:rPr>
        <w:rFonts w:ascii="Arial" w:hAnsi="Arial" w:cs="Arial"/>
      </w:rPr>
      <w:t>2</w:t>
    </w:r>
    <w:r w:rsidR="00EC0E66">
      <w:rPr>
        <w:rFonts w:ascii="Arial" w:hAnsi="Arial" w:cs="Arial"/>
      </w:rPr>
      <w:t>5</w:t>
    </w:r>
    <w:r w:rsidR="005D49FE" w:rsidRPr="00C90922">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C7B" w14:textId="77777777" w:rsidR="00C90922" w:rsidRDefault="00C90922" w:rsidP="00992EDB">
      <w:r>
        <w:separator/>
      </w:r>
    </w:p>
  </w:footnote>
  <w:footnote w:type="continuationSeparator" w:id="0">
    <w:p w14:paraId="02EB378F" w14:textId="77777777" w:rsidR="00C90922" w:rsidRDefault="00C90922"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0DA4" w14:textId="7E8E50C5" w:rsidR="00465ACA" w:rsidRDefault="00465ACA" w:rsidP="00465ACA">
    <w:pPr>
      <w:pStyle w:val="Header"/>
      <w:jc w:val="center"/>
    </w:pPr>
    <w:r>
      <w:rPr>
        <w:noProof/>
      </w:rPr>
      <w:drawing>
        <wp:inline distT="0" distB="0" distL="0" distR="0" wp14:anchorId="34BD965F" wp14:editId="683E7747">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D546708"/>
    <w:multiLevelType w:val="hybridMultilevel"/>
    <w:tmpl w:val="BC188390"/>
    <w:lvl w:ilvl="0" w:tplc="CE7E7358">
      <w:start w:val="1"/>
      <w:numFmt w:val="upperLetter"/>
      <w:lvlText w:val="%1."/>
      <w:lvlJc w:val="left"/>
      <w:pPr>
        <w:ind w:left="1080" w:hanging="360"/>
      </w:pPr>
    </w:lvl>
    <w:lvl w:ilvl="1" w:tplc="04090019">
      <w:start w:val="1"/>
      <w:numFmt w:val="lowerLetter"/>
      <w:lvlText w:val="%2."/>
      <w:lvlJc w:val="left"/>
      <w:pPr>
        <w:ind w:left="1800" w:hanging="360"/>
      </w:pPr>
    </w:lvl>
    <w:lvl w:ilvl="2" w:tplc="AF8C030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C81E95"/>
    <w:multiLevelType w:val="hybridMultilevel"/>
    <w:tmpl w:val="CE08A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3030BB9"/>
    <w:multiLevelType w:val="hybridMultilevel"/>
    <w:tmpl w:val="C9985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3"/>
  </w:num>
  <w:num w:numId="2">
    <w:abstractNumId w:val="5"/>
  </w:num>
  <w:num w:numId="3">
    <w:abstractNumId w:val="0"/>
  </w:num>
  <w:num w:numId="4">
    <w:abstractNumId w:val="6"/>
  </w:num>
  <w:num w:numId="5">
    <w:abstractNumId w:val="7"/>
  </w:num>
  <w:num w:numId="6">
    <w:abstractNumId w:val="1"/>
  </w:num>
  <w:num w:numId="7">
    <w:abstractNumId w:val="8"/>
  </w:num>
  <w:num w:numId="8">
    <w:abstractNumId w:val="4"/>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TCwNDMyMzAwszRS0lEKTi0uzszPAykwrAUA68+ebiwAAAA="/>
  </w:docVars>
  <w:rsids>
    <w:rsidRoot w:val="00C90922"/>
    <w:rsid w:val="00000BC2"/>
    <w:rsid w:val="000022FA"/>
    <w:rsid w:val="00011DCF"/>
    <w:rsid w:val="00013BD9"/>
    <w:rsid w:val="000140E1"/>
    <w:rsid w:val="00016CEE"/>
    <w:rsid w:val="00017C94"/>
    <w:rsid w:val="000210E2"/>
    <w:rsid w:val="00021CA3"/>
    <w:rsid w:val="00022470"/>
    <w:rsid w:val="000227B6"/>
    <w:rsid w:val="000227FD"/>
    <w:rsid w:val="00024A1E"/>
    <w:rsid w:val="00027585"/>
    <w:rsid w:val="0003341F"/>
    <w:rsid w:val="00040AFA"/>
    <w:rsid w:val="000450B2"/>
    <w:rsid w:val="00047240"/>
    <w:rsid w:val="000474B5"/>
    <w:rsid w:val="00047F31"/>
    <w:rsid w:val="00055980"/>
    <w:rsid w:val="00055E11"/>
    <w:rsid w:val="000611AE"/>
    <w:rsid w:val="000644D2"/>
    <w:rsid w:val="000754A2"/>
    <w:rsid w:val="00087D65"/>
    <w:rsid w:val="00097B8C"/>
    <w:rsid w:val="000A486F"/>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558E"/>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12E"/>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6477"/>
    <w:rsid w:val="002F746E"/>
    <w:rsid w:val="0030063C"/>
    <w:rsid w:val="00303803"/>
    <w:rsid w:val="003122EE"/>
    <w:rsid w:val="00312E56"/>
    <w:rsid w:val="003153BF"/>
    <w:rsid w:val="00316CDD"/>
    <w:rsid w:val="003204BF"/>
    <w:rsid w:val="003211AF"/>
    <w:rsid w:val="003239A1"/>
    <w:rsid w:val="00323FF8"/>
    <w:rsid w:val="0032510E"/>
    <w:rsid w:val="00340A13"/>
    <w:rsid w:val="003578AB"/>
    <w:rsid w:val="00357D9D"/>
    <w:rsid w:val="00357F87"/>
    <w:rsid w:val="003608AE"/>
    <w:rsid w:val="003614FA"/>
    <w:rsid w:val="00363BC1"/>
    <w:rsid w:val="0036447E"/>
    <w:rsid w:val="003758AE"/>
    <w:rsid w:val="00377CE0"/>
    <w:rsid w:val="00381DCE"/>
    <w:rsid w:val="00383594"/>
    <w:rsid w:val="00383DBA"/>
    <w:rsid w:val="003853F9"/>
    <w:rsid w:val="00386536"/>
    <w:rsid w:val="00390D5D"/>
    <w:rsid w:val="00392112"/>
    <w:rsid w:val="003932A6"/>
    <w:rsid w:val="0039649B"/>
    <w:rsid w:val="003A40BF"/>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158DD"/>
    <w:rsid w:val="0042109E"/>
    <w:rsid w:val="0042323C"/>
    <w:rsid w:val="00424C86"/>
    <w:rsid w:val="00426ACF"/>
    <w:rsid w:val="00427D2E"/>
    <w:rsid w:val="00440547"/>
    <w:rsid w:val="00441E4C"/>
    <w:rsid w:val="00442356"/>
    <w:rsid w:val="00444303"/>
    <w:rsid w:val="004504E9"/>
    <w:rsid w:val="0045454C"/>
    <w:rsid w:val="00456690"/>
    <w:rsid w:val="00465ACA"/>
    <w:rsid w:val="00471CF6"/>
    <w:rsid w:val="00471FF1"/>
    <w:rsid w:val="004742BF"/>
    <w:rsid w:val="00474F9B"/>
    <w:rsid w:val="00475068"/>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0005"/>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3271"/>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0AFF"/>
    <w:rsid w:val="00967A5E"/>
    <w:rsid w:val="0097211E"/>
    <w:rsid w:val="00976ADA"/>
    <w:rsid w:val="00992EDB"/>
    <w:rsid w:val="00995A81"/>
    <w:rsid w:val="009971AE"/>
    <w:rsid w:val="009A27CF"/>
    <w:rsid w:val="009A6A81"/>
    <w:rsid w:val="009B6EB8"/>
    <w:rsid w:val="009C0625"/>
    <w:rsid w:val="009C16EE"/>
    <w:rsid w:val="009C1A6E"/>
    <w:rsid w:val="009C2ED3"/>
    <w:rsid w:val="009C2F69"/>
    <w:rsid w:val="009C5CD4"/>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4C5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0922"/>
    <w:rsid w:val="00C933AB"/>
    <w:rsid w:val="00CA21CC"/>
    <w:rsid w:val="00CA2D90"/>
    <w:rsid w:val="00CA40D4"/>
    <w:rsid w:val="00CA5E6C"/>
    <w:rsid w:val="00CB037E"/>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5E4D"/>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26E"/>
    <w:rsid w:val="00E97485"/>
    <w:rsid w:val="00EA3C65"/>
    <w:rsid w:val="00EA7723"/>
    <w:rsid w:val="00EC0E66"/>
    <w:rsid w:val="00EC2FAA"/>
    <w:rsid w:val="00EC3D53"/>
    <w:rsid w:val="00ED56CB"/>
    <w:rsid w:val="00EE2CBE"/>
    <w:rsid w:val="00EE47A4"/>
    <w:rsid w:val="00EE48CF"/>
    <w:rsid w:val="00EF0A66"/>
    <w:rsid w:val="00EF3848"/>
    <w:rsid w:val="00F0128C"/>
    <w:rsid w:val="00F05865"/>
    <w:rsid w:val="00F128C2"/>
    <w:rsid w:val="00F15BF8"/>
    <w:rsid w:val="00F16F25"/>
    <w:rsid w:val="00F2001F"/>
    <w:rsid w:val="00F23B03"/>
    <w:rsid w:val="00F2557E"/>
    <w:rsid w:val="00F3174A"/>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 w:val="051FEF77"/>
    <w:rsid w:val="06CD6DD9"/>
    <w:rsid w:val="0BE389FF"/>
    <w:rsid w:val="0CE9D122"/>
    <w:rsid w:val="0CEAC14A"/>
    <w:rsid w:val="12F57BF9"/>
    <w:rsid w:val="21AB315C"/>
    <w:rsid w:val="26793784"/>
    <w:rsid w:val="35E4AAF8"/>
    <w:rsid w:val="3E211EBC"/>
    <w:rsid w:val="4B6C67DB"/>
    <w:rsid w:val="4EAF386C"/>
    <w:rsid w:val="5300DD40"/>
    <w:rsid w:val="55AF1174"/>
    <w:rsid w:val="5A4421C5"/>
    <w:rsid w:val="5BCC557B"/>
    <w:rsid w:val="72E17583"/>
    <w:rsid w:val="7FE4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EEF0FB"/>
  <w15:chartTrackingRefBased/>
  <w15:docId w15:val="{1794AA60-7CCE-4438-A665-BB63427D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22"/>
    <w:pPr>
      <w:spacing w:after="200" w:line="259" w:lineRule="auto"/>
      <w:ind w:firstLine="0"/>
    </w:pPr>
    <w:rPr>
      <w:rFonts w:eastAsiaTheme="minorHAnsi"/>
      <w:kern w:val="0"/>
    </w:rPr>
  </w:style>
  <w:style w:type="paragraph" w:styleId="Heading1">
    <w:name w:val="heading 1"/>
    <w:next w:val="Heading2"/>
    <w:link w:val="Heading1Char"/>
    <w:uiPriority w:val="9"/>
    <w:qFormat/>
    <w:rsid w:val="004158DD"/>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4158DD"/>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158DD"/>
    <w:pPr>
      <w:ind w:left="1170" w:hanging="117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4158DD"/>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4158DD"/>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158DD"/>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E8E878BEDC41AB8EC0AEB6FB3D69" ma:contentTypeVersion="6" ma:contentTypeDescription="Create a new document." ma:contentTypeScope="" ma:versionID="f7640c950bbeb5c15866848d05e687bb">
  <xsd:schema xmlns:xsd="http://www.w3.org/2001/XMLSchema" xmlns:xs="http://www.w3.org/2001/XMLSchema" xmlns:p="http://schemas.microsoft.com/office/2006/metadata/properties" xmlns:ns2="e257719b-c1f1-4e91-b8ff-71f46d4c3710" xmlns:ns3="e800ba80-e8f7-44b0-b7f4-76b7b261fc3f" targetNamespace="http://schemas.microsoft.com/office/2006/metadata/properties" ma:root="true" ma:fieldsID="8961188b10e2ea8a11a85474a2121637" ns2:_="" ns3:_="">
    <xsd:import namespace="e257719b-c1f1-4e91-b8ff-71f46d4c3710"/>
    <xsd:import namespace="e800ba80-e8f7-44b0-b7f4-76b7b261f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719b-c1f1-4e91-b8ff-71f46d4c3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0ba80-e8f7-44b0-b7f4-76b7b261f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3380F-35CE-4B34-8CE1-7463986F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719b-c1f1-4e91-b8ff-71f46d4c3710"/>
    <ds:schemaRef ds:uri="e800ba80-e8f7-44b0-b7f4-76b7b261f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9F796-679D-4690-B053-F1CA72815515}">
  <ds:schemaRefs>
    <ds:schemaRef ds:uri="http://schemas.openxmlformats.org/officeDocument/2006/bibliography"/>
  </ds:schemaRefs>
</ds:datastoreItem>
</file>

<file path=customXml/itemProps3.xml><?xml version="1.0" encoding="utf-8"?>
<ds:datastoreItem xmlns:ds="http://schemas.openxmlformats.org/officeDocument/2006/customXml" ds:itemID="{1F46388B-F99B-4447-8552-BD94BFFB02AB}">
  <ds:schemaRefs>
    <ds:schemaRef ds:uri="http://schemas.microsoft.com/sharepoint/v3/contenttype/forms"/>
  </ds:schemaRefs>
</ds:datastoreItem>
</file>

<file path=customXml/itemProps4.xml><?xml version="1.0" encoding="utf-8"?>
<ds:datastoreItem xmlns:ds="http://schemas.openxmlformats.org/officeDocument/2006/customXml" ds:itemID="{D056806F-4CAD-4FDC-896D-21E266F67EF8}">
  <ds:schemaRefs>
    <ds:schemaRef ds:uri="e257719b-c1f1-4e91-b8ff-71f46d4c3710"/>
    <ds:schemaRef ds:uri="e800ba80-e8f7-44b0-b7f4-76b7b261fc3f"/>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TotalTime>
  <Pages>3</Pages>
  <Words>699</Words>
  <Characters>3988</Characters>
  <Application>Microsoft Office Word</Application>
  <DocSecurity>0</DocSecurity>
  <PresentationFormat>15|.DOCX</PresentationFormat>
  <Lines>33</Lines>
  <Paragraphs>9</Paragraphs>
  <ScaleCrop>false</ScaleCrop>
  <Company>Thrun Law Firm</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4104-AG Employment Complaint Procedure</dc:title>
  <dc:subject>4100 - Employee Rights and Responsibilities</dc:subject>
  <dc:creator>Thrun Attorneys</dc:creator>
  <cp:keywords/>
  <dc:description/>
  <cp:lastModifiedBy>MICHELLE MUNYON</cp:lastModifiedBy>
  <cp:revision>2</cp:revision>
  <cp:lastPrinted>2019-11-05T00:23:00Z</cp:lastPrinted>
  <dcterms:created xsi:type="dcterms:W3CDTF">2025-02-26T14:20:00Z</dcterms:created>
  <dcterms:modified xsi:type="dcterms:W3CDTF">2025-02-26T14:20:00Z</dcterms:modified>
  <cp:category>Board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0x01010077F9E8E878BEDC41AB8EC0AEB6FB3D69</vt:lpwstr>
  </property>
</Properties>
</file>